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50" w:after="283"/>
        <w:jc w:val="left"/>
        <w:rPr/>
      </w:pPr>
      <w:r>
        <w:rPr/>
        <w:t>Documentation technique — exportInrap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StrongEmphasis"/>
        </w:rPr>
        <w:t>Plugin CollectiveAccess Providence — INRAP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Vue d’ensemble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Le plugin </w:t>
      </w:r>
      <w:r>
        <w:rPr>
          <w:rStyle w:val="StrongEmphasis"/>
        </w:rPr>
        <w:t>exportInrap</w:t>
      </w:r>
      <w:r>
        <w:rPr/>
        <w:t xml:space="preserve"> génère des </w:t>
      </w:r>
      <w:r>
        <w:rPr>
          <w:rStyle w:val="StrongEmphasis"/>
        </w:rPr>
        <w:t>catalogues PDF</w:t>
      </w:r>
      <w:r>
        <w:rPr/>
        <w:t xml:space="preserve"> d’objets archéologiques à partir des opérations, ensembles ou occurrences de CollectiveAccess.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Il propose une interface en 3 étapes (sélection de l’opération, des objets, puis des métadonnées et de la mise en page), </w:t>
      </w:r>
      <w:r>
        <w:rPr>
          <w:rStyle w:val="StrongEmphasis"/>
        </w:rPr>
        <w:t>6 styles de mise en page</w:t>
      </w:r>
      <w:r>
        <w:rPr/>
        <w:t xml:space="preserve"> et </w:t>
      </w:r>
      <w:r>
        <w:rPr>
          <w:rStyle w:val="StrongEmphasis"/>
        </w:rPr>
        <w:t>8 stratégies de regroupement</w:t>
      </w:r>
      <w:r>
        <w:rPr/>
        <w:t xml:space="preserve"> des objets.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La conversion HTML → PDF est assurée par </w:t>
      </w:r>
      <w:r>
        <w:rPr>
          <w:rStyle w:val="StrongEmphasis"/>
        </w:rPr>
        <w:t>PhantomJS</w:t>
      </w:r>
      <w:r>
        <w:rPr/>
        <w:t xml:space="preserve"> (bibliothèque H2P), puis finalisée par </w:t>
      </w:r>
      <w:r>
        <w:rPr>
          <w:rStyle w:val="StrongEmphasis"/>
        </w:rPr>
        <w:t>pdftk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Rôle du plugin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Générer des catalogues PDF d’objets archéologiques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Sélection interactive des objets, métadonnées et mise en page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6 styles de mise en page (1, 2 ou 4 objets par page)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8 stratégies de regroupement (matériaux, domaine, inventaire, etc.)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Page de couverture avec données de l’opération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>Export depuis une opération, un ensemble (</w:t>
      </w:r>
      <w:r>
        <w:rPr>
          <w:rStyle w:val="SourceText"/>
        </w:rPr>
        <w:t>ca_sets</w:t>
      </w:r>
      <w:r>
        <w:rPr/>
        <w:t>) ou une occurrence (</w:t>
      </w:r>
      <w:r>
        <w:rPr>
          <w:rStyle w:val="SourceText"/>
        </w:rPr>
        <w:t>ca_occurrences</w:t>
      </w:r>
      <w:r>
        <w:rPr/>
        <w:t xml:space="preserve">) </w:t>
      </w:r>
    </w:p>
    <w:p>
      <w:pPr>
        <w:pStyle w:val="Heading3"/>
        <w:bidi w:val="0"/>
        <w:jc w:val="left"/>
        <w:rPr/>
      </w:pPr>
      <w:r>
        <w:rPr/>
        <w:t>Hooks utilisés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hookRenderMenuBar</w:t>
      </w:r>
      <w:r>
        <w:rPr/>
        <w:t xml:space="preserve"> — Ajoute le menu « Catalogue objets par opération » dans la barre de navigation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hookAppendToEditorInspector</w:t>
      </w:r>
      <w:r>
        <w:rPr/>
        <w:t xml:space="preserve"> — Ajoute un bouton « Catalogue d’objets » sur les ensembles et occurrences (type 116)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hookGetRoleActionList</w:t>
      </w:r>
      <w:r>
        <w:rPr/>
        <w:t xml:space="preserve"> — Déclaré mais retourne la liste inchangée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Points d’entrée</w:t>
      </w:r>
    </w:p>
    <w:tbl>
      <w:tblPr>
        <w:tblW w:w="753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6"/>
        <w:gridCol w:w="4276"/>
        <w:gridCol w:w="1921"/>
      </w:tblGrid>
      <w:tr>
        <w:trPr/>
        <w:tc>
          <w:tcPr>
            <w:tcW w:w="1336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Point d’entrée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Source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Menu principal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hookRenderMenuBar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Entrée « Catalogue objets par opération » dans Gérer → Navigation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Bouton sur un ensemble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hookAppendToEditorInspector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Bouton sur les fiches </w:t>
            </w:r>
            <w:r>
              <w:rPr>
                <w:rStyle w:val="SourceText"/>
              </w:rPr>
              <w:t>ca_sets</w:t>
            </w:r>
            <w:r>
              <w:rPr/>
              <w:t xml:space="preserve"> (table_num = 57)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Bouton sur une occurrence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hookAppendToEditorInspector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Bouton sur les fiches </w:t>
            </w:r>
            <w:r>
              <w:rPr>
                <w:rStyle w:val="SourceText"/>
              </w:rPr>
              <w:t>ca_occurrences</w:t>
            </w:r>
            <w:r>
              <w:rPr/>
              <w:t xml:space="preserve"> de type 116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Processus d’export (3 étapes)</w:t>
      </w:r>
    </w:p>
    <w:p>
      <w:pPr>
        <w:pStyle w:val="Heading3"/>
        <w:bidi w:val="0"/>
        <w:jc w:val="left"/>
        <w:rPr/>
      </w:pPr>
      <w:r>
        <w:rPr/>
        <w:t>Étape 1 — Sélection de l’opération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L’utilisateur saisit le </w:t>
      </w:r>
      <w:r>
        <w:rPr>
          <w:rStyle w:val="StrongEmphasis"/>
        </w:rPr>
        <w:t>code opération INRAP</w:t>
      </w:r>
      <w:r>
        <w:rPr/>
        <w:t>. Le système charge via AJAX (</w:t>
      </w:r>
      <w:r>
        <w:rPr>
          <w:rStyle w:val="SourceText"/>
        </w:rPr>
        <w:t>/ajax/objectByCodeOp.php</w:t>
      </w:r>
      <w:r>
        <w:rPr/>
        <w:t>) la liste des objets rattachés.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Emphasis"/>
        </w:rPr>
        <w:t>Cette étape est sautée si l’export est lancé depuis un ensemble ou une occurrence.</w:t>
      </w:r>
    </w:p>
    <w:p>
      <w:pPr>
        <w:pStyle w:val="Heading3"/>
        <w:bidi w:val="0"/>
        <w:jc w:val="left"/>
        <w:rPr/>
      </w:pPr>
      <w:r>
        <w:rPr/>
        <w:t>Étape 2 — Sélection des objets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 xml:space="preserve">L’utilisateur coche les </w:t>
      </w:r>
      <w:r>
        <w:rPr>
          <w:rStyle w:val="StrongEmphasis"/>
        </w:rPr>
        <w:t>types d’objets</w:t>
      </w:r>
      <w:r>
        <w:rPr/>
        <w:t xml:space="preserve"> à inclure 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Mobilier (type 24)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Prélèvement (type 25)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Document (type 26)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Contenant mobilier (type 28)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Contenant documentation (type 30)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Contenant documentation numérique (type 1886) </w:t>
      </w:r>
    </w:p>
    <w:p>
      <w:pPr>
        <w:pStyle w:val="Heading3"/>
        <w:bidi w:val="0"/>
        <w:jc w:val="left"/>
        <w:rPr/>
      </w:pPr>
      <w:r>
        <w:rPr/>
        <w:t>Étape 3 — Métadonnées et mise en page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/>
        <w:t>L’utilisateur configure 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Métadonnées de l’opération</w:t>
      </w:r>
      <w:r>
        <w:rPr/>
        <w:t xml:space="preserve"> (11 champs : lieu d’entrée, n° OA, code INRAP, commune, etc.)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Métadonnées des objets</w:t>
      </w:r>
      <w:r>
        <w:rPr/>
        <w:t xml:space="preserve"> (20+ champs : photos, identification, dimensions, période, etc.)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Style de mise en page</w:t>
      </w:r>
      <w:r>
        <w:rPr/>
        <w:t xml:space="preserve"> (6 styles avec aperçu visuel)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Stratégie de regroupement</w:t>
      </w:r>
      <w:r>
        <w:rPr/>
        <w:t xml:space="preserve"> (8 options)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Titre du catalogue</w:t>
      </w:r>
      <w:r>
        <w:rPr/>
        <w:t xml:space="preserve"> (facultatif)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Styles de mise en page</w:t>
      </w:r>
    </w:p>
    <w:tbl>
      <w:tblPr>
        <w:tblW w:w="753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68"/>
        <w:gridCol w:w="1167"/>
        <w:gridCol w:w="2098"/>
      </w:tblGrid>
      <w:tr>
        <w:trPr/>
        <w:tc>
          <w:tcPr>
            <w:tcW w:w="4268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Style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Objets/page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Disposition</w:t>
            </w:r>
          </w:p>
        </w:tc>
      </w:tr>
      <w:tr>
        <w:trPr/>
        <w:tc>
          <w:tcPr>
            <w:tcW w:w="42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texte-deux-images-gauche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Images à gauche, texte à droite</w:t>
            </w:r>
          </w:p>
        </w:tc>
      </w:tr>
      <w:tr>
        <w:trPr/>
        <w:tc>
          <w:tcPr>
            <w:tcW w:w="42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texte-deux-images-droite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Images à droite, texte à gauche</w:t>
            </w:r>
          </w:p>
        </w:tc>
      </w:tr>
      <w:tr>
        <w:trPr/>
        <w:tc>
          <w:tcPr>
            <w:tcW w:w="42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ensemble-2-par-page-texte-bas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Images en haut, texte en bas</w:t>
            </w:r>
          </w:p>
        </w:tc>
      </w:tr>
      <w:tr>
        <w:trPr/>
        <w:tc>
          <w:tcPr>
            <w:tcW w:w="42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ensemble-2-par-page-texte-droite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2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Images à gauche, texte à droite</w:t>
            </w:r>
          </w:p>
        </w:tc>
      </w:tr>
      <w:tr>
        <w:trPr/>
        <w:tc>
          <w:tcPr>
            <w:tcW w:w="42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ensemble-4-par-page-texte-droite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4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Images à gauche, texte à droite</w:t>
            </w:r>
          </w:p>
        </w:tc>
      </w:tr>
      <w:tr>
        <w:trPr/>
        <w:tc>
          <w:tcPr>
            <w:tcW w:w="426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ensemble-4-par-page-texte-bas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4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Images en haut, texte en bas</w:t>
            </w:r>
          </w:p>
        </w:tc>
      </w:tr>
    </w:tbl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3498DB"/>
          <w:shd w:fill="EAF6FD" w:val="clear"/>
        </w:rPr>
        <w:t>Images :</w:t>
      </w:r>
      <w:r>
        <w:rPr>
          <w:bdr w:val="single" w:sz="24" w:space="11" w:color="3498DB"/>
          <w:shd w:fill="EAF6FD" w:val="clear"/>
        </w:rPr>
        <w:t xml:space="preserve"> selon le style, 1 à 3 représentations (</w:t>
      </w:r>
      <w:r>
        <w:rPr>
          <w:rStyle w:val="SourceText"/>
          <w:bdr w:val="single" w:sz="24" w:space="11" w:color="3498DB"/>
          <w:shd w:fill="EAF6FD" w:val="clear"/>
        </w:rPr>
        <w:t>ca_object_representations</w:t>
      </w:r>
      <w:r>
        <w:rPr>
          <w:bdr w:val="single" w:sz="24" w:space="11" w:color="3498DB"/>
          <w:shd w:fill="EAF6FD" w:val="clear"/>
        </w:rPr>
        <w:t xml:space="preserve">) sont incluses par objet. Les styles à 1 objet/page affichent jusqu’à 3 images, les styles à 4 objets/page n’en affichent qu’une.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Stratégies de regroupement</w:t>
      </w:r>
    </w:p>
    <w:tbl>
      <w:tblPr>
        <w:tblW w:w="753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3"/>
        <w:gridCol w:w="2079"/>
        <w:gridCol w:w="4461"/>
      </w:tblGrid>
      <w:tr>
        <w:trPr/>
        <w:tc>
          <w:tcPr>
            <w:tcW w:w="993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Code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Critère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Champ source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mat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Matériaux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ca_objects.inrap_materiaux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dom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Domaine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ca_objects.inrap_domaine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inv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Numéro d’inventaire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ca_objects.idno</w:t>
            </w:r>
            <w:r>
              <w:rPr/>
              <w:t xml:space="preserve"> (tri)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iso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Numéro d’isolation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ca_objects.inrap_numero_isolation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pcm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Période chrono. musée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ca_objects.inrap_musee_chrono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matm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Matériaux musée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ca_objects.inrap_musee_materiaux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pc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Période chrono. site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ca_objects.inrap_periode_chrono_site</w:t>
            </w:r>
          </w:p>
        </w:tc>
      </w:tr>
      <w:tr>
        <w:trPr/>
        <w:tc>
          <w:tcPr>
            <w:tcW w:w="9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Emphasis"/>
              </w:rPr>
              <w:t>(défaut)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Type de mobilier</w:t>
            </w:r>
          </w:p>
        </w:tc>
        <w:tc>
          <w:tcPr>
            <w:tcW w:w="44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ca_objects.type_mobilier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Métadonnées exportées</w:t>
      </w:r>
    </w:p>
    <w:p>
      <w:pPr>
        <w:pStyle w:val="Heading3"/>
        <w:bidi w:val="0"/>
        <w:jc w:val="left"/>
        <w:rPr/>
      </w:pPr>
      <w:r>
        <w:rPr/>
        <w:t>Métadonnées de l’opération (page de couverture)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Lieu d’entrée (</w:t>
      </w:r>
      <w:r>
        <w:rPr>
          <w:rStyle w:val="SourceText"/>
        </w:rPr>
        <w:t>ca_storage_locations_entree</w:t>
      </w:r>
      <w:r>
        <w:rPr/>
        <w:t xml:space="preserve">)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Numéro OA / Code INRAP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Commune / Lieu-dit (</w:t>
      </w:r>
      <w:r>
        <w:rPr>
          <w:rStyle w:val="SourceText"/>
        </w:rPr>
        <w:t>ca_places</w:t>
      </w:r>
      <w:r>
        <w:rPr/>
        <w:t xml:space="preserve">)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Responsable d’opération (</w:t>
      </w:r>
      <w:r>
        <w:rPr>
          <w:rStyle w:val="SourceText"/>
        </w:rPr>
        <w:t>ca_entities_RO</w:t>
      </w:r>
      <w:r>
        <w:rPr/>
        <w:t xml:space="preserve">)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Année d’intervention / Type d’opération / Statut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SRA (</w:t>
      </w:r>
      <w:r>
        <w:rPr>
          <w:rStyle w:val="SourceText"/>
        </w:rPr>
        <w:t>ca_entities_SRA</w:t>
      </w:r>
      <w:r>
        <w:rPr/>
        <w:t>) / Direction INRAP (</w:t>
      </w:r>
      <w:r>
        <w:rPr>
          <w:rStyle w:val="SourceText"/>
        </w:rPr>
        <w:t>ca_entities_DIR</w:t>
      </w:r>
      <w:r>
        <w:rPr/>
        <w:t xml:space="preserve">)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Volume total </w:t>
      </w:r>
    </w:p>
    <w:p>
      <w:pPr>
        <w:pStyle w:val="Heading3"/>
        <w:bidi w:val="0"/>
        <w:jc w:val="left"/>
        <w:rPr/>
      </w:pPr>
      <w:r>
        <w:rPr/>
        <w:t>Métadonnées des objets (fiches)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Photos (1 à 3 selon le style)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Identification / Désignation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N° OA, N° inventaire, N° isolation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Unité d’enregistrement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Période chronologique / Datation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Matériaux / Précision matériau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Quantification / Fragmentation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État sanitaire (</w:t>
      </w:r>
      <w:r>
        <w:rPr>
          <w:rStyle w:val="SourceText"/>
        </w:rPr>
        <w:t>ca_occurrences</w:t>
      </w:r>
      <w:r>
        <w:rPr/>
        <w:t xml:space="preserve">)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Dimensions (mm et cm)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Contexte archéologique / Emplacement de stockage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Valeur d’assurance / Labo / Contenants liés / Traitements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Actions du contrôleur (ExportController)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controllers/ExportController.php</w:t>
      </w:r>
    </w:p>
    <w:tbl>
      <w:tblPr>
        <w:tblW w:w="753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1"/>
        <w:gridCol w:w="6392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Action</w:t>
            </w:r>
          </w:p>
        </w:tc>
        <w:tc>
          <w:tcPr>
            <w:tcW w:w="6392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Index</w:t>
            </w:r>
          </w:p>
        </w:tc>
        <w:tc>
          <w:tcPr>
            <w:tcW w:w="63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Affiche l’interface de configuration de l’export (formulaire Bootstrap 5 en 3 étapes). Reçoit optionnellement </w:t>
            </w:r>
            <w:r>
              <w:rPr>
                <w:rStyle w:val="SourceText"/>
              </w:rPr>
              <w:t>set_id</w:t>
            </w:r>
            <w:r>
              <w:rPr/>
              <w:t xml:space="preserve"> ou </w:t>
            </w:r>
            <w:r>
              <w:rPr>
                <w:rStyle w:val="SourceText"/>
              </w:rPr>
              <w:t>occurrence_id</w:t>
            </w:r>
            <w:r>
              <w:rPr/>
              <w:t>.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Export</w:t>
            </w:r>
          </w:p>
        </w:tc>
        <w:tc>
          <w:tcPr>
            <w:tcW w:w="63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 xml:space="preserve">Génère le catalogue PDF : collecte les données, appelle </w:t>
            </w:r>
            <w:r>
              <w:rPr>
                <w:rStyle w:val="SourceText"/>
              </w:rPr>
              <w:t>generateHTML()</w:t>
            </w:r>
            <w:r>
              <w:rPr/>
              <w:t>, convertit via PhantomJS, finalise avec pdftk, redirige vers le PDF.</w:t>
            </w:r>
          </w:p>
        </w:tc>
      </w:tr>
    </w:tbl>
    <w:p>
      <w:pPr>
        <w:pStyle w:val="Heading3"/>
        <w:bidi w:val="0"/>
        <w:jc w:val="left"/>
        <w:rPr/>
      </w:pPr>
      <w:r>
        <w:rPr/>
        <w:t>Génération du PDF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Collecte des données des objets via </w:t>
      </w:r>
      <w:r>
        <w:rPr>
          <w:rStyle w:val="SourceText"/>
        </w:rPr>
        <w:t>getWithTemplate()</w:t>
      </w:r>
      <w:r>
        <w:rPr/>
        <w:t xml:space="preserve"> (modèle CA)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Regroupement selon la stratégie choisie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Génération du HTML avec CSS intégré (</w:t>
      </w:r>
      <w:r>
        <w:rPr>
          <w:rStyle w:val="SourceText"/>
        </w:rPr>
        <w:t>assets/css/pdf.css</w:t>
      </w:r>
      <w:r>
        <w:rPr/>
        <w:t xml:space="preserve">) et logo INRAP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Sauvegarde en fichier temporaire (</w:t>
      </w:r>
      <w:r>
        <w:rPr>
          <w:rStyle w:val="SourceText"/>
        </w:rPr>
        <w:t>tmp/pdf-content_[timestamp].html</w:t>
      </w:r>
      <w:r>
        <w:rPr/>
        <w:t xml:space="preserve">)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Conversion HTML → PDF via </w:t>
      </w:r>
      <w:r>
        <w:rPr>
          <w:rStyle w:val="StrongEmphasis"/>
        </w:rPr>
        <w:t>PhantomJS</w:t>
      </w:r>
      <w:r>
        <w:rPr/>
        <w:t xml:space="preserve"> (A4 paysage, zoom 0.4, marge 1cm)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Finalisation via </w:t>
      </w:r>
      <w:r>
        <w:rPr>
          <w:rStyle w:val="StrongEmphasis"/>
        </w:rPr>
        <w:t>pdftk</w:t>
      </w:r>
      <w:r>
        <w:rPr/>
        <w:t xml:space="preserve"> (</w:t>
      </w:r>
      <w:r>
        <w:rPr>
          <w:rStyle w:val="SourceText"/>
        </w:rPr>
        <w:t>tmp/rapport_[timestamp].pdf</w:t>
      </w:r>
      <w:r>
        <w:rPr/>
        <w:t xml:space="preserve">)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Redirection vers le PDF pour téléchargement </w:t>
      </w:r>
    </w:p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F39C12"/>
          <w:shd w:fill="FEF9E7" w:val="clear"/>
        </w:rPr>
        <w:t>Fichiers temporaires :</w:t>
      </w:r>
      <w:r>
        <w:rPr>
          <w:bdr w:val="single" w:sz="24" w:space="11" w:color="F39C12"/>
          <w:shd w:fill="FEF9E7" w:val="clear"/>
        </w:rPr>
        <w:t xml:space="preserve"> les fichiers HTML et PDF intermédiaires sont stockés dans le dossier </w:t>
      </w:r>
      <w:r>
        <w:rPr>
          <w:rStyle w:val="SourceText"/>
          <w:bdr w:val="single" w:sz="24" w:space="11" w:color="F39C12"/>
          <w:shd w:fill="FEF9E7" w:val="clear"/>
        </w:rPr>
        <w:t>tmp/</w:t>
      </w:r>
      <w:r>
        <w:rPr>
          <w:bdr w:val="single" w:sz="24" w:space="11" w:color="F39C12"/>
          <w:shd w:fill="FEF9E7" w:val="clear"/>
        </w:rPr>
        <w:t xml:space="preserve"> du plugin. Ils ne sont pas automatiquement nettoyés.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Configuration</w:t>
      </w:r>
    </w:p>
    <w:p>
      <w:pPr>
        <w:pStyle w:val="TextBody"/>
        <w:bidi w:val="0"/>
        <w:spacing w:before="120" w:after="120"/>
        <w:ind w:left="120" w:right="120" w:hanging="0"/>
        <w:jc w:val="left"/>
        <w:rPr/>
      </w:pPr>
      <w:r>
        <w:rPr>
          <w:rStyle w:val="Emphasis"/>
        </w:rPr>
        <w:t xml:space="preserve">Fichier : </w:t>
      </w:r>
      <w:r>
        <w:rPr>
          <w:rStyle w:val="SourceText"/>
        </w:rPr>
        <w:t>conf/exportInrap.conf</w:t>
      </w:r>
    </w:p>
    <w:tbl>
      <w:tblPr>
        <w:tblW w:w="753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2"/>
        <w:gridCol w:w="3689"/>
        <w:gridCol w:w="2242"/>
      </w:tblGrid>
      <w:tr>
        <w:trPr/>
        <w:tc>
          <w:tcPr>
            <w:tcW w:w="1602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Paramètre</w:t>
            </w:r>
          </w:p>
        </w:tc>
        <w:tc>
          <w:tcPr>
            <w:tcW w:w="3689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Valeur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6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enabled</w:t>
            </w:r>
          </w:p>
        </w:tc>
        <w:tc>
          <w:tcPr>
            <w:tcW w:w="36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Active le plugin</w:t>
            </w:r>
          </w:p>
        </w:tc>
      </w:tr>
      <w:tr>
        <w:trPr/>
        <w:tc>
          <w:tcPr>
            <w:tcW w:w="16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menu_title</w:t>
            </w:r>
          </w:p>
        </w:tc>
        <w:tc>
          <w:tcPr>
            <w:tcW w:w="36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Catalogue objets par opération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Texte du menu principal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Structure des fichiers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>exportInrap/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exportInrapPlugin.php        # Plugin principal (hooks, menu, boutons)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conf/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exportInrap.conf            # Configuration (enabled, menu_title)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controllers/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ExportController.php        # Contrôleur (Index, Export, generateHTML)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views/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index_html.php              # Interface de configuration (Bootstrap 5)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view_pdf_html.php           # Téléchargement du PDF généré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lib/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h2p/                        # Bibliothèque H2P (PhantomJS wrapper)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  </w:t>
      </w:r>
      <w:r>
        <w:rPr/>
        <w:t>bin/                      # Binaires PhantomJS (linux, mac)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  </w:t>
      </w:r>
      <w:r>
        <w:rPr/>
        <w:t>src/H2P/                  # Classes PHP du convertisseur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</w:t>
      </w:r>
      <w:r>
        <w:rPr/>
        <w:t>assets/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css/pdf.css                 # Styles CSS du catalogue PDF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fonts/EBGaramond/           # Police EB Garamond (ttf, otf)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img/inrap_0.jpg             # Logo INRAP pour le PDF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styles/                     # Aperçus des styles de mise en page</w:t>
      </w:r>
    </w:p>
    <w:p>
      <w:pPr>
        <w:pStyle w:val="PreformattedText"/>
        <w:pBdr/>
        <w:shd w:fill="F4F4F4" w:val="clear"/>
        <w:bidi w:val="0"/>
        <w:spacing w:lineRule="auto" w:line="360" w:before="600" w:after="0"/>
        <w:jc w:val="left"/>
        <w:rPr/>
      </w:pPr>
      <w:r>
        <w:rPr/>
        <w:t xml:space="preserve">    </w:t>
      </w:r>
      <w:r>
        <w:rPr/>
        <w:t>sass/                       # Sources SASS du CSS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 xml:space="preserve">  </w:t>
      </w:r>
      <w:r>
        <w:rPr/>
        <w:t>tmp/                          # Fichiers temporaires (HTML, PDF)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Dépendances externes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H2P (PhantomJS wrapper)</w:t>
      </w:r>
      <w:r>
        <w:rPr/>
        <w:t xml:space="preserve"> — Bibliothèque PHP incluse dans </w:t>
      </w:r>
      <w:r>
        <w:rPr>
          <w:rStyle w:val="SourceText"/>
        </w:rPr>
        <w:t>lib/h2p/</w:t>
      </w:r>
      <w:r>
        <w:rPr/>
        <w:t xml:space="preserve"> pour la conversion HTML → PDF. Binaires PhantomJS inclus pour Linux et Mac.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pdftk</w:t>
      </w:r>
      <w:r>
        <w:rPr/>
        <w:t xml:space="preserve"> — Outil externe (ligne de commande) pour finaliser le PDF. Doit être installé sur le serveur (</w:t>
      </w:r>
      <w:r>
        <w:rPr>
          <w:rStyle w:val="SourceText"/>
        </w:rPr>
        <w:t>apt install pdftk</w:t>
      </w:r>
      <w:r>
        <w:rPr/>
        <w:t xml:space="preserve">).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Bootstrap 5</w:t>
      </w:r>
      <w:r>
        <w:rPr/>
        <w:t xml:space="preserve"> — Utilisé dans l’interface de configuration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EB Garamond</w:t>
      </w:r>
      <w:r>
        <w:rPr/>
        <w:t xml:space="preserve"> — Police de caractères embarquée pour le rendu PDF </w:t>
      </w:r>
    </w:p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F39C12"/>
          <w:shd w:fill="FEF9E7" w:val="clear"/>
        </w:rPr>
        <w:t>pdftk requis :</w:t>
      </w:r>
      <w:r>
        <w:rPr>
          <w:bdr w:val="single" w:sz="24" w:space="11" w:color="F39C12"/>
          <w:shd w:fill="FEF9E7" w:val="clear"/>
        </w:rPr>
        <w:t xml:space="preserve"> l’outil </w:t>
      </w:r>
      <w:r>
        <w:rPr>
          <w:rStyle w:val="SourceText"/>
          <w:bdr w:val="single" w:sz="24" w:space="11" w:color="F39C12"/>
          <w:shd w:fill="FEF9E7" w:val="clear"/>
        </w:rPr>
        <w:t>pdftk</w:t>
      </w:r>
      <w:r>
        <w:rPr>
          <w:bdr w:val="single" w:sz="24" w:space="11" w:color="F39C12"/>
          <w:shd w:fill="FEF9E7" w:val="clear"/>
        </w:rPr>
        <w:t xml:space="preserve"> doit être installé sur le serveur pour la finalisation des PDF. Sur Debian/Ubuntu : </w:t>
      </w:r>
      <w:r>
        <w:rPr>
          <w:rStyle w:val="SourceText"/>
          <w:bdr w:val="single" w:sz="24" w:space="11" w:color="F39C12"/>
          <w:shd w:fill="FEF9E7" w:val="clear"/>
        </w:rPr>
        <w:t>apt install pdftk</w:t>
      </w:r>
      <w:r>
        <w:rPr>
          <w:bdr w:val="single" w:sz="24" w:space="11" w:color="F39C12"/>
          <w:shd w:fill="FEF9E7" w:val="clear"/>
        </w:rPr>
        <w:t xml:space="preserve">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Paramètres de rendu PDF</w:t>
      </w:r>
    </w:p>
    <w:tbl>
      <w:tblPr>
        <w:tblW w:w="49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1"/>
        <w:gridCol w:w="3466"/>
      </w:tblGrid>
      <w:tr>
        <w:trPr/>
        <w:tc>
          <w:tcPr>
            <w:tcW w:w="1501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Paramètre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shd w:fill="3498DB" w:val="clear"/>
              <w:bidi w:val="0"/>
              <w:spacing w:before="120" w:after="120"/>
              <w:jc w:val="left"/>
              <w:rPr/>
            </w:pPr>
            <w:r>
              <w:rPr/>
              <w:t>Valeur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Orientation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Paysage (landscape)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Format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A4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Zoom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0.4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Marge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1 cm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Pied de page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Numéro de page + métadonnées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Police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/>
            </w:pPr>
            <w:r>
              <w:rPr/>
              <w:t>EB Garamond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Notes techniques</w:t>
      </w:r>
    </w:p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F39C12"/>
          <w:shd w:fill="FEF9E7" w:val="clear"/>
        </w:rPr>
        <w:t>Bug identifié :</w:t>
      </w:r>
      <w:r>
        <w:rPr>
          <w:bdr w:val="single" w:sz="24" w:space="11" w:color="F39C12"/>
          <w:shd w:fill="FEF9E7" w:val="clear"/>
        </w:rPr>
        <w:t xml:space="preserve"> dans le constructeur de </w:t>
      </w:r>
      <w:r>
        <w:rPr>
          <w:rStyle w:val="SourceText"/>
          <w:bdr w:val="single" w:sz="24" w:space="11" w:color="F39C12"/>
          <w:shd w:fill="FEF9E7" w:val="clear"/>
        </w:rPr>
        <w:t>ExportController.php</w:t>
      </w:r>
      <w:r>
        <w:rPr>
          <w:bdr w:val="single" w:sz="24" w:space="11" w:color="F39C12"/>
          <w:shd w:fill="FEF9E7" w:val="clear"/>
        </w:rPr>
        <w:t xml:space="preserve">, le nom du plugin est défini comme </w:t>
      </w:r>
      <w:r>
        <w:rPr>
          <w:rStyle w:val="SourceText"/>
          <w:bdr w:val="single" w:sz="24" w:space="11" w:color="F39C12"/>
          <w:shd w:fill="FEF9E7" w:val="clear"/>
        </w:rPr>
        <w:t>"importInrap"</w:t>
      </w:r>
      <w:r>
        <w:rPr>
          <w:bdr w:val="single" w:sz="24" w:space="11" w:color="F39C12"/>
          <w:shd w:fill="FEF9E7" w:val="clear"/>
        </w:rPr>
        <w:t xml:space="preserve"> au lieu de </w:t>
      </w:r>
      <w:r>
        <w:rPr>
          <w:rStyle w:val="SourceText"/>
          <w:bdr w:val="single" w:sz="24" w:space="11" w:color="F39C12"/>
          <w:shd w:fill="FEF9E7" w:val="clear"/>
        </w:rPr>
        <w:t>"exportInrap"</w:t>
      </w:r>
      <w:r>
        <w:rPr>
          <w:bdr w:val="single" w:sz="24" w:space="11" w:color="F39C12"/>
          <w:shd w:fill="FEF9E7" w:val="clear"/>
        </w:rPr>
        <w:t xml:space="preserve"> (ligne 20). Cela n’affecte pas le fonctionnement car le chemin du plugin est utilisé directement. </w:t>
      </w:r>
    </w:p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3498DB"/>
          <w:shd w:fill="EAF6FD" w:val="clear"/>
        </w:rPr>
        <w:t>Pas de restriction par rôle :</w:t>
      </w:r>
      <w:r>
        <w:rPr>
          <w:bdr w:val="single" w:sz="24" w:space="11" w:color="3498DB"/>
          <w:shd w:fill="EAF6FD" w:val="clear"/>
        </w:rPr>
        <w:t xml:space="preserve"> </w:t>
      </w:r>
      <w:r>
        <w:rPr>
          <w:rStyle w:val="SourceText"/>
          <w:bdr w:val="single" w:sz="24" w:space="11" w:color="3498DB"/>
          <w:shd w:fill="EAF6FD" w:val="clear"/>
        </w:rPr>
        <w:t>getRoleActionList()</w:t>
      </w:r>
      <w:r>
        <w:rPr>
          <w:bdr w:val="single" w:sz="24" w:space="11" w:color="3498DB"/>
          <w:shd w:fill="EAF6FD" w:val="clear"/>
        </w:rPr>
        <w:t xml:space="preserve"> retourne un tableau vide. Le plugin est accessible à tous les utilisateurs de l’interface d’administration. </w:t>
      </w:r>
    </w:p>
    <w:p>
      <w:pPr>
        <w:pStyle w:val="TextBody"/>
        <w:bidi w:val="0"/>
        <w:spacing w:before="225" w:after="225"/>
        <w:ind w:left="225" w:right="225" w:hanging="0"/>
        <w:jc w:val="left"/>
        <w:rPr/>
      </w:pPr>
      <w:r>
        <w:rPr>
          <w:rStyle w:val="StrongEmphasis"/>
          <w:bdr w:val="single" w:sz="24" w:space="11" w:color="3498DB"/>
          <w:shd w:fill="EAF6FD" w:val="clear"/>
        </w:rPr>
        <w:t>Données via templates CA :</w:t>
      </w:r>
      <w:r>
        <w:rPr>
          <w:bdr w:val="single" w:sz="24" w:space="11" w:color="3498DB"/>
          <w:shd w:fill="EAF6FD" w:val="clear"/>
        </w:rPr>
        <w:t xml:space="preserve"> toutes les données des objets sont extraites via la syntaxe de templates CollectiveAccess (</w:t>
      </w:r>
      <w:r>
        <w:rPr>
          <w:rStyle w:val="SourceText"/>
          <w:bdr w:val="single" w:sz="24" w:space="11" w:color="3498DB"/>
          <w:shd w:fill="EAF6FD" w:val="clear"/>
        </w:rPr>
        <w:t>getWithTemplate()</w:t>
      </w:r>
      <w:r>
        <w:rPr>
          <w:bdr w:val="single" w:sz="24" w:space="11" w:color="3498DB"/>
          <w:shd w:fill="EAF6FD" w:val="clear"/>
        </w:rPr>
        <w:t>) et les méthodes de relations (</w:t>
      </w:r>
      <w:r>
        <w:rPr>
          <w:rStyle w:val="SourceText"/>
          <w:bdr w:val="single" w:sz="24" w:space="11" w:color="3498DB"/>
          <w:shd w:fill="EAF6FD" w:val="clear"/>
        </w:rPr>
        <w:t>restrictToRelationshipTypes</w:t>
      </w:r>
      <w:r>
        <w:rPr>
          <w:bdr w:val="single" w:sz="24" w:space="11" w:color="3498DB"/>
          <w:shd w:fill="EAF6FD" w:val="clear"/>
        </w:rPr>
        <w:t xml:space="preserve">, </w:t>
      </w:r>
      <w:r>
        <w:rPr>
          <w:rStyle w:val="SourceText"/>
          <w:bdr w:val="single" w:sz="24" w:space="11" w:color="3498DB"/>
          <w:shd w:fill="EAF6FD" w:val="clear"/>
        </w:rPr>
        <w:t>restrictToTypes</w:t>
      </w:r>
      <w:r>
        <w:rPr>
          <w:bdr w:val="single" w:sz="24" w:space="11" w:color="3498DB"/>
          <w:shd w:fill="EAF6FD" w:val="clear"/>
        </w:rPr>
        <w:t xml:space="preserve">). </w:t>
      </w:r>
    </w:p>
    <w:p>
      <w:pPr>
        <w:pStyle w:val="TextBody"/>
        <w:bidi w:val="0"/>
        <w:spacing w:before="450" w:after="120"/>
        <w:jc w:val="left"/>
        <w:rPr/>
      </w:pPr>
      <w:r>
        <w:rPr>
          <w:rStyle w:val="StrongEmphasis"/>
          <w:shd w:fill="ECF0F1" w:val="clear"/>
        </w:rPr>
        <w:t>Date de documentation :</w:t>
      </w:r>
      <w:r>
        <w:rPr>
          <w:shd w:fill="ECF0F1" w:val="clear"/>
        </w:rPr>
        <w:t xml:space="preserve"> 2026-02-15</w:t>
        <w:br/>
      </w:r>
      <w:r>
        <w:rPr>
          <w:rStyle w:val="StrongEmphasis"/>
          <w:shd w:fill="ECF0F1" w:val="clear"/>
        </w:rPr>
        <w:t>Plugin :</w:t>
      </w:r>
      <w:r>
        <w:rPr>
          <w:shd w:fill="ECF0F1" w:val="clear"/>
        </w:rPr>
        <w:t xml:space="preserve"> exportInrap</w:t>
        <w:br/>
      </w:r>
      <w:r>
        <w:rPr>
          <w:rStyle w:val="StrongEmphasis"/>
          <w:shd w:fill="ECF0F1" w:val="clear"/>
        </w:rPr>
        <w:t>Version CollectiveAccess :</w:t>
      </w:r>
      <w:r>
        <w:rPr>
          <w:shd w:fill="ECF0F1" w:val="clear"/>
        </w:rPr>
        <w:t xml:space="preserve"> Providence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 w:before="600" w:after="600"/>
      <w:ind w:left="600" w:right="600" w:hanging="0"/>
    </w:pPr>
    <w:rPr>
      <w:rFonts w:ascii="Calibri;Arial;sans-serif" w:hAnsi="Calibri;Arial;sans-serif" w:eastAsia="Calibri;Arial;sans-serif" w:cs="Calibri;Arial;sans-serif"/>
      <w:color w:val="333333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8" w:space="8" w:color="3498DB"/>
      </w:pBdr>
      <w:spacing w:before="450" w:after="283"/>
    </w:pPr>
    <w:rPr>
      <w:rFonts w:ascii="Liberation Sans Unicode MS" w:hAnsi="Liberation Sans Unicode MS"/>
      <w:b/>
      <w:bCs/>
      <w:color w:val="2C3E50"/>
      <w:sz w:val="48"/>
      <w:szCs w:val="44"/>
    </w:rPr>
  </w:style>
  <w:style w:type="paragraph" w:styleId="Heading2">
    <w:name w:val="Heading 2"/>
    <w:basedOn w:val="Heading"/>
    <w:next w:val="TextBody"/>
    <w:qFormat/>
    <w:pPr>
      <w:pBdr>
        <w:bottom w:val="single" w:sz="12" w:space="6" w:color="95A5A6"/>
      </w:pBdr>
      <w:spacing w:before="525" w:after="120"/>
      <w:outlineLvl w:val="1"/>
    </w:pPr>
    <w:rPr>
      <w:rFonts w:ascii="Liberation Serif" w:hAnsi="Liberation Serif" w:eastAsia="Noto Sans" w:cs="Noto Sans Devanagari"/>
      <w:b/>
      <w:bCs/>
      <w:color w:val="34495E"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300" w:after="120"/>
      <w:outlineLvl w:val="2"/>
    </w:pPr>
    <w:rPr>
      <w:rFonts w:ascii="Liberation Serif" w:hAnsi="Liberation Serif" w:eastAsia="Noto Sans" w:cs="Noto Sans Devanagari"/>
      <w:b/>
      <w:bCs/>
      <w:color w:val="2980B9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4F4F4" w:val="clear"/>
    </w:rPr>
  </w:style>
  <w:style w:type="character" w:styleId="StrongEmphasis">
    <w:name w:val="Strong"/>
    <w:qFormat/>
    <w:rPr>
      <w:b/>
      <w:bCs/>
      <w:color w:val="2C3E50"/>
    </w:rPr>
  </w:style>
  <w:style w:type="character" w:styleId="Emphasis">
    <w:name w:val="Emphasis"/>
    <w:qFormat/>
    <w:rPr>
      <w:i/>
      <w:iCs/>
      <w:color w:val="7F8C8D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419" w:leader="none"/>
        <w:tab w:val="right" w:pos="102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120" w:after="120"/>
      <w:ind w:left="120" w:right="120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9" w:color="DDDDDD"/>
        <w:left w:val="single" w:sz="2" w:space="9" w:color="DDDDDD"/>
        <w:bottom w:val="single" w:sz="2" w:space="9" w:color="DDDDDD"/>
      </w:pBdr>
      <w:shd w:fill="F4F4F4" w:val="clear"/>
      <w:spacing w:lineRule="auto" w:line="360" w:before="60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3498DB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Documentation technique — exportInrap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