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50" w:after="283"/>
        <w:jc w:val="left"/>
        <w:rPr/>
      </w:pPr>
      <w:r>
        <w:rPr/>
        <w:t>Documentation technique — importInrap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Plugin CollectiveAccess Providence — INRAP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Vue d’ensemble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Le plugin </w:t>
      </w:r>
      <w:r>
        <w:rPr>
          <w:rStyle w:val="StrongEmphasis"/>
        </w:rPr>
        <w:t>importInrap</w:t>
      </w:r>
      <w:r>
        <w:rPr/>
        <w:t xml:space="preserve"> permet d’</w:t>
      </w:r>
      <w:r>
        <w:rPr>
          <w:rStyle w:val="StrongEmphasis"/>
        </w:rPr>
        <w:t>importer des données depuis des fichiers Excel</w:t>
      </w:r>
      <w:r>
        <w:rPr/>
        <w:t xml:space="preserve"> (XLS/XLSX) dans la base CollectiveAccess, avec un processus en </w:t>
      </w:r>
      <w:r>
        <w:rPr>
          <w:rStyle w:val="StrongEmphasis"/>
        </w:rPr>
        <w:t>5 étapes guidées</w:t>
      </w:r>
      <w:r>
        <w:rPr/>
        <w:t xml:space="preserve"> : upload du fichier, sélection de la feuille, mapping des colonnes, sélection des lignes, puis import paginé.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Le plugin gère </w:t>
      </w:r>
      <w:r>
        <w:rPr>
          <w:rStyle w:val="StrongEmphasis"/>
        </w:rPr>
        <w:t>8 types d’import</w:t>
      </w:r>
      <w:r>
        <w:rPr/>
        <w:t xml:space="preserve"> : mobilier archéologique, objets musée, opérations, documentation numérique, documentation écrite, contenants mobilier, contenants documentation et contenants numériques.</w:t>
      </w:r>
    </w:p>
    <w:p>
      <w:pPr>
        <w:pStyle w:val="Heading3"/>
        <w:bidi w:val="0"/>
        <w:jc w:val="left"/>
        <w:rPr/>
      </w:pPr>
      <w:r>
        <w:rPr/>
        <w:t>Rôle du plugin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Importer des objets, collections et documents depuis des fichiers Excel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Mapper interactivement les colonnes Excel vers les champs CollectiveAccess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Créer ou mettre à jour les enregistrements existants (détection par idno)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Gérer les relations : collections, entités, lieux, emplacements, mouvements, contenants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Traiter les attributs complexes : containers (dimensions, notes), valeurs multiples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Import paginé (1 ligne par requête HTTP) avec barre de progression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Déclencher les hooks </w:t>
      </w:r>
      <w:r>
        <w:rPr>
          <w:rStyle w:val="SourceText"/>
        </w:rPr>
        <w:t>hookSaveItem</w:t>
      </w:r>
      <w:r>
        <w:rPr/>
        <w:t xml:space="preserve"> après chaque import </w:t>
      </w:r>
    </w:p>
    <w:p>
      <w:pPr>
        <w:pStyle w:val="Heading3"/>
        <w:bidi w:val="0"/>
        <w:jc w:val="left"/>
        <w:rPr/>
      </w:pPr>
      <w:r>
        <w:rPr/>
        <w:t>Hooks utilisés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hookRenderMenuBar</w:t>
      </w:r>
      <w:r>
        <w:rPr/>
        <w:t xml:space="preserve"> — Ajoute un menu « Import Inrap » dans la barre de navigation </w:t>
      </w:r>
    </w:p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4" w:space="11" w:color="3498DB"/>
          <w:shd w:fill="EAF6FD" w:val="clear"/>
        </w:rPr>
        <w:t>Aucune restriction de rôle</w:t>
      </w:r>
      <w:r>
        <w:rPr>
          <w:bdr w:val="single" w:sz="24" w:space="11" w:color="3498DB"/>
          <w:shd w:fill="EAF6FD" w:val="clear"/>
        </w:rPr>
        <w:t xml:space="preserve"> — </w:t>
      </w:r>
      <w:r>
        <w:rPr>
          <w:rStyle w:val="SourceText"/>
          <w:bdr w:val="single" w:sz="24" w:space="11" w:color="3498DB"/>
          <w:shd w:fill="EAF6FD" w:val="clear"/>
        </w:rPr>
        <w:t>getRoleActionList</w:t>
      </w:r>
      <w:r>
        <w:rPr>
          <w:bdr w:val="single" w:sz="24" w:space="11" w:color="3498DB"/>
          <w:shd w:fill="EAF6FD" w:val="clear"/>
        </w:rPr>
        <w:t xml:space="preserve"> retourne un tableau vide.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Processus d’import (5 étapes)</w:t>
      </w:r>
    </w:p>
    <w:p>
      <w:pPr>
        <w:pStyle w:val="Heading3"/>
        <w:bidi w:val="0"/>
        <w:jc w:val="left"/>
        <w:rPr/>
      </w:pPr>
      <w:r>
        <w:rPr/>
        <w:t>Étape 1 — Upload du fichier et sélection du type (Index)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L’utilisateur sélectionne le </w:t>
      </w:r>
      <w:r>
        <w:rPr>
          <w:rStyle w:val="StrongEmphasis"/>
        </w:rPr>
        <w:t>type d’import</w:t>
      </w:r>
      <w:r>
        <w:rPr/>
        <w:t xml:space="preserve"> et uploade un fichier Excel 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Mobilier archéologique / Objets musée / Opérations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Documentation numérique / écrite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Contenant mobilier / documentation / numérique </w:t>
      </w:r>
    </w:p>
    <w:p>
      <w:pPr>
        <w:pStyle w:val="Heading3"/>
        <w:bidi w:val="0"/>
        <w:jc w:val="left"/>
        <w:rPr/>
      </w:pPr>
      <w:r>
        <w:rPr/>
        <w:t>Étape 2 — Sélection de la feuille (SelectSheet)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PhpSpreadsheet charge le classeur et affiche la </w:t>
      </w:r>
      <w:r>
        <w:rPr>
          <w:rStyle w:val="StrongEmphasis"/>
        </w:rPr>
        <w:t>liste des feuilles</w:t>
      </w:r>
      <w:r>
        <w:rPr/>
        <w:t>. L’utilisateur choisit celle à importer.</w:t>
      </w:r>
    </w:p>
    <w:p>
      <w:pPr>
        <w:pStyle w:val="Heading3"/>
        <w:bidi w:val="0"/>
        <w:jc w:val="left"/>
        <w:rPr/>
      </w:pPr>
      <w:r>
        <w:rPr/>
        <w:t>Étape 3 — Mapping des colonnes (SelectBeforeImport)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Le système lit les en-têtes et affiche un formulaire de mapping (en-têtes Excel ↔ champs CA). Un script jQuery tente un </w:t>
      </w:r>
      <w:r>
        <w:rPr>
          <w:rStyle w:val="StrongEmphasis"/>
        </w:rPr>
        <w:t>auto-matching</w:t>
      </w:r>
      <w:r>
        <w:rPr/>
        <w:t xml:space="preserve"> par similarité de nom.</w:t>
      </w:r>
    </w:p>
    <w:p>
      <w:pPr>
        <w:pStyle w:val="Heading3"/>
        <w:bidi w:val="0"/>
        <w:jc w:val="left"/>
        <w:rPr/>
      </w:pPr>
      <w:r>
        <w:rPr/>
        <w:t>Étape 4 — Sélection des lignes (SelectLineBeforeImport)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>Les données sont mappées et sauvegardées en JSON. L’utilisateur coche les lignes à importer.</w:t>
      </w:r>
    </w:p>
    <w:p>
      <w:pPr>
        <w:pStyle w:val="Heading3"/>
        <w:bidi w:val="0"/>
        <w:jc w:val="left"/>
        <w:rPr/>
      </w:pPr>
      <w:r>
        <w:rPr/>
        <w:t>Étape 5 — Import paginé (Import)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Import </w:t>
      </w:r>
      <w:r>
        <w:rPr>
          <w:rStyle w:val="StrongEmphasis"/>
        </w:rPr>
        <w:t>ligne par ligne</w:t>
      </w:r>
      <w:r>
        <w:rPr/>
        <w:t xml:space="preserve"> avec barre de progression. Pour chaque ligne 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Appelle </w:t>
      </w:r>
      <w:r>
        <w:rPr>
          <w:rStyle w:val="SourceText"/>
        </w:rPr>
        <w:t>_importObject()</w:t>
      </w:r>
      <w:r>
        <w:rPr/>
        <w:t xml:space="preserve"> ou </w:t>
      </w:r>
      <w:r>
        <w:rPr>
          <w:rStyle w:val="SourceText"/>
        </w:rPr>
        <w:t>_importCollection()</w:t>
      </w:r>
      <w:r>
        <w:rPr/>
        <w:t xml:space="preserve"> selon le type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Auto-submit après 500ms pour la ligne suivante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Page de succès avec liens vers les fiches créées en fin d’import </w:t>
      </w:r>
    </w:p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4" w:space="11" w:color="F39C12"/>
          <w:shd w:fill="FEF9E7" w:val="clear"/>
        </w:rPr>
        <w:t>Mémoire et temps :</w:t>
      </w:r>
      <w:r>
        <w:rPr>
          <w:bdr w:val="single" w:sz="24" w:space="11" w:color="F39C12"/>
          <w:shd w:fill="FEF9E7" w:val="clear"/>
        </w:rPr>
        <w:t xml:space="preserve"> l’action </w:t>
      </w:r>
      <w:r>
        <w:rPr>
          <w:rStyle w:val="SourceText"/>
          <w:bdr w:val="single" w:sz="24" w:space="11" w:color="F39C12"/>
          <w:shd w:fill="FEF9E7" w:val="clear"/>
        </w:rPr>
        <w:t>Import()</w:t>
      </w:r>
      <w:r>
        <w:rPr>
          <w:bdr w:val="single" w:sz="24" w:space="11" w:color="F39C12"/>
          <w:shd w:fill="FEF9E7" w:val="clear"/>
        </w:rPr>
        <w:t xml:space="preserve"> définit </w:t>
      </w:r>
      <w:r>
        <w:rPr>
          <w:rStyle w:val="SourceText"/>
          <w:bdr w:val="single" w:sz="24" w:space="11" w:color="F39C12"/>
          <w:shd w:fill="FEF9E7" w:val="clear"/>
        </w:rPr>
        <w:t>memory_limit = -1</w:t>
      </w:r>
      <w:r>
        <w:rPr>
          <w:bdr w:val="single" w:sz="24" w:space="11" w:color="F39C12"/>
          <w:shd w:fill="FEF9E7" w:val="clear"/>
        </w:rPr>
        <w:t xml:space="preserve"> et </w:t>
      </w:r>
      <w:r>
        <w:rPr>
          <w:rStyle w:val="SourceText"/>
          <w:bdr w:val="single" w:sz="24" w:space="11" w:color="F39C12"/>
          <w:shd w:fill="FEF9E7" w:val="clear"/>
        </w:rPr>
        <w:t>max_execution_time = 0</w:t>
      </w:r>
      <w:r>
        <w:rPr>
          <w:bdr w:val="single" w:sz="24" w:space="11" w:color="F39C12"/>
          <w:shd w:fill="FEF9E7" w:val="clear"/>
        </w:rPr>
        <w:t xml:space="preserve">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Types d’import et identifiants de type</w:t>
      </w:r>
    </w:p>
    <w:tbl>
      <w:tblPr>
        <w:tblW w:w="72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41"/>
        <w:gridCol w:w="826"/>
        <w:gridCol w:w="1876"/>
        <w:gridCol w:w="2821"/>
      </w:tblGrid>
      <w:tr>
        <w:trPr/>
        <w:tc>
          <w:tcPr>
            <w:tcW w:w="174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Type d’import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type_id CA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Table cible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Fonction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Mobilier archéologique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24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_importObject()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Documentation écrite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26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_importObject()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Documentation numérique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26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_importObject()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Opérations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125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ca_collections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_importCollection()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Objets musée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39119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_importObject()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Contenant mobilier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28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_importObject()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Contenant numérique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1886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_importObject()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Contenant documentation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30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_importObject()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Fonctions d’import (lib/)</w:t>
      </w:r>
    </w:p>
    <w:p>
      <w:pPr>
        <w:pStyle w:val="Heading3"/>
        <w:bidi w:val="0"/>
        <w:jc w:val="left"/>
        <w:rPr/>
      </w:pPr>
      <w:r>
        <w:rPr/>
        <w:t>_importObject() — Import d’objets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Emphasis"/>
        </w:rPr>
        <w:t xml:space="preserve">Fichier : </w:t>
      </w:r>
      <w:r>
        <w:rPr>
          <w:rStyle w:val="SourceText"/>
        </w:rPr>
        <w:t>lib/_importObject.php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>Fonction principale pour tous les types d’objets. Processus :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Chargement ou création</w:t>
      </w:r>
      <w:r>
        <w:rPr/>
        <w:t xml:space="preserve"> par </w:t>
      </w:r>
      <w:r>
        <w:rPr>
          <w:rStyle w:val="SourceText"/>
        </w:rPr>
        <w:t>idno</w:t>
      </w:r>
      <w:r>
        <w:rPr/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Champs spéciaux :</w:t>
      </w:r>
      <w:r>
        <w:rPr/>
        <w:t xml:space="preserve"> poids (unité), dimensions (cm), titre, titre document, containers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Relations :</w:t>
      </w:r>
      <w:r>
        <w:rPr/>
        <w:t xml:space="preserve"> </w:t>
      </w:r>
      <w:r>
        <w:rPr>
          <w:rStyle w:val="SourceText"/>
        </w:rPr>
        <w:t>ca_collections</w:t>
      </w:r>
      <w:r>
        <w:rPr/>
        <w:t xml:space="preserve">, </w:t>
      </w:r>
      <w:r>
        <w:rPr>
          <w:rStyle w:val="SourceText"/>
        </w:rPr>
        <w:t>ca_entities</w:t>
      </w:r>
      <w:r>
        <w:rPr/>
        <w:t xml:space="preserve">, </w:t>
      </w:r>
      <w:r>
        <w:rPr>
          <w:rStyle w:val="SourceText"/>
        </w:rPr>
        <w:t>ca_places</w:t>
      </w:r>
      <w:r>
        <w:rPr/>
        <w:t xml:space="preserve">, </w:t>
      </w:r>
      <w:r>
        <w:rPr>
          <w:rStyle w:val="SourceText"/>
        </w:rPr>
        <w:t>ca_objects</w:t>
      </w:r>
      <w:r>
        <w:rPr/>
        <w:t xml:space="preserve"> (contenants), </w:t>
      </w:r>
      <w:r>
        <w:rPr>
          <w:rStyle w:val="SourceText"/>
        </w:rPr>
        <w:t>ca_storage_locations</w:t>
      </w:r>
      <w:r>
        <w:rPr/>
        <w:t xml:space="preserve">, </w:t>
      </w:r>
      <w:r>
        <w:rPr>
          <w:rStyle w:val="SourceText"/>
        </w:rPr>
        <w:t>ca_movements</w:t>
      </w:r>
      <w:r>
        <w:rPr/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Attributs standards :</w:t>
      </w:r>
      <w:r>
        <w:rPr/>
        <w:t xml:space="preserve"> suppression puis ajout. Valeurs multiples (séparateur « ; ») si </w:t>
      </w:r>
      <w:r>
        <w:rPr>
          <w:rStyle w:val="SourceText"/>
        </w:rPr>
        <w:t>canBeMultiple = 1</w:t>
      </w:r>
      <w:r>
        <w:rPr/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Containers :</w:t>
      </w:r>
      <w:r>
        <w:rPr/>
        <w:t xml:space="preserve"> suppression des existants, insertion des nouveaux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Hooks :</w:t>
      </w:r>
      <w:r>
        <w:rPr/>
        <w:t xml:space="preserve"> appel de </w:t>
      </w:r>
      <w:r>
        <w:rPr>
          <w:rStyle w:val="SourceText"/>
        </w:rPr>
        <w:t>hookSaveItem()</w:t>
      </w:r>
      <w:r>
        <w:rPr/>
        <w:t xml:space="preserve"> </w:t>
      </w:r>
    </w:p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4" w:space="11" w:color="3498DB"/>
          <w:shd w:fill="EAF6FD" w:val="clear"/>
        </w:rPr>
        <w:t>Création automatique de contenants :</w:t>
      </w:r>
      <w:r>
        <w:rPr>
          <w:bdr w:val="single" w:sz="24" w:space="11" w:color="3498DB"/>
          <w:shd w:fill="EAF6FD" w:val="clear"/>
        </w:rPr>
        <w:t xml:space="preserve"> si le contenant référencé n’existe pas dans l’opération, la fonction le crée automatiquement (type 28) et le rattache à la collection. </w:t>
      </w:r>
    </w:p>
    <w:p>
      <w:pPr>
        <w:pStyle w:val="Heading3"/>
        <w:bidi w:val="0"/>
        <w:jc w:val="left"/>
        <w:rPr/>
      </w:pPr>
      <w:r>
        <w:rPr/>
        <w:t>_importCollection() — Import d’opérations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Emphasis"/>
        </w:rPr>
        <w:t xml:space="preserve">Fichier : </w:t>
      </w:r>
      <w:r>
        <w:rPr>
          <w:rStyle w:val="SourceText"/>
        </w:rPr>
        <w:t>lib/_importCollection.php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Même structure que </w:t>
      </w:r>
      <w:r>
        <w:rPr>
          <w:rStyle w:val="SourceText"/>
        </w:rPr>
        <w:t>_importObject()</w:t>
      </w:r>
      <w:r>
        <w:rPr/>
        <w:t xml:space="preserve"> pour les collections (</w:t>
      </w:r>
      <w:r>
        <w:rPr>
          <w:rStyle w:val="SourceText"/>
        </w:rPr>
        <w:t>ca_collections</w:t>
      </w:r>
      <w:r>
        <w:rPr/>
        <w:t xml:space="preserve">, type 125). Relations : </w:t>
      </w:r>
      <w:r>
        <w:rPr>
          <w:rStyle w:val="SourceText"/>
        </w:rPr>
        <w:t>ca_places</w:t>
      </w:r>
      <w:r>
        <w:rPr/>
        <w:t xml:space="preserve">, </w:t>
      </w:r>
      <w:r>
        <w:rPr>
          <w:rStyle w:val="SourceText"/>
        </w:rPr>
        <w:t>ca_entities</w:t>
      </w:r>
      <w:r>
        <w:rPr/>
        <w:t xml:space="preserve">, </w:t>
      </w:r>
      <w:r>
        <w:rPr>
          <w:rStyle w:val="SourceText"/>
        </w:rPr>
        <w:t>ca_storage_locations</w:t>
      </w:r>
      <w:r>
        <w:rPr/>
        <w:t xml:space="preserve">, </w:t>
      </w:r>
      <w:r>
        <w:rPr>
          <w:rStyle w:val="SourceText"/>
        </w:rPr>
        <w:t>ca_movements</w:t>
      </w:r>
      <w:r>
        <w:rPr/>
        <w:t xml:space="preserve">. Appelle </w:t>
      </w:r>
      <w:r>
        <w:rPr>
          <w:rStyle w:val="SourceText"/>
        </w:rPr>
        <w:t>hookEditItem()</w:t>
      </w:r>
      <w:r>
        <w:rPr/>
        <w:t xml:space="preserve"> en fin de traitement.</w:t>
      </w:r>
    </w:p>
    <w:p>
      <w:pPr>
        <w:pStyle w:val="Heading3"/>
        <w:bidi w:val="0"/>
        <w:jc w:val="left"/>
        <w:rPr/>
      </w:pPr>
      <w:r>
        <w:rPr/>
        <w:t>migration_functionlib.php — Fonctions utilitaires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Emphasis"/>
        </w:rPr>
        <w:t xml:space="preserve">Fichier : </w:t>
      </w:r>
      <w:r>
        <w:rPr>
          <w:rStyle w:val="SourceText"/>
        </w:rPr>
        <w:t>lib/migration_functionlib.php</w:t>
      </w:r>
    </w:p>
    <w:tbl>
      <w:tblPr>
        <w:tblW w:w="72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00"/>
        <w:gridCol w:w="1764"/>
      </w:tblGrid>
      <w:tr>
        <w:trPr/>
        <w:tc>
          <w:tcPr>
            <w:tcW w:w="5500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Fonction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55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getListID()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Crée ou charge un vocabulaire</w:t>
            </w:r>
          </w:p>
        </w:tc>
      </w:tr>
      <w:tr>
        <w:trPr/>
        <w:tc>
          <w:tcPr>
            <w:tcW w:w="55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ExistsItemID()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Vérifie l’existence d’un élément de liste</w:t>
            </w:r>
          </w:p>
        </w:tc>
      </w:tr>
      <w:tr>
        <w:trPr/>
        <w:tc>
          <w:tcPr>
            <w:tcW w:w="55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getItemID()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Récupère ou crée un élément de liste hiérarchique</w:t>
            </w:r>
          </w:p>
        </w:tc>
      </w:tr>
      <w:tr>
        <w:trPr/>
        <w:tc>
          <w:tcPr>
            <w:tcW w:w="55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getStorageLocationID()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Trouve un emplacement par idno</w:t>
            </w:r>
          </w:p>
        </w:tc>
      </w:tr>
      <w:tr>
        <w:trPr/>
        <w:tc>
          <w:tcPr>
            <w:tcW w:w="55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getStorageLocationIDfromPartialName()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Recherche par nom partiel (SQL)</w:t>
            </w:r>
          </w:p>
        </w:tc>
      </w:tr>
      <w:tr>
        <w:trPr/>
        <w:tc>
          <w:tcPr>
            <w:tcW w:w="55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getMovementID()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Récupère ou crée un mouvement</w:t>
            </w:r>
          </w:p>
        </w:tc>
      </w:tr>
      <w:tr>
        <w:trPr/>
        <w:tc>
          <w:tcPr>
            <w:tcW w:w="55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getCollectionID()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Récupère ou crée une collection</w:t>
            </w:r>
          </w:p>
        </w:tc>
      </w:tr>
      <w:tr>
        <w:trPr/>
        <w:tc>
          <w:tcPr>
            <w:tcW w:w="55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getOccurrenceID()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Récupère ou crée une occurrence</w:t>
            </w:r>
          </w:p>
        </w:tc>
      </w:tr>
      <w:tr>
        <w:trPr/>
        <w:tc>
          <w:tcPr>
            <w:tcW w:w="55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getObjectID()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Récupère un objet par idno</w:t>
            </w:r>
          </w:p>
        </w:tc>
      </w:tr>
      <w:tr>
        <w:trPr/>
        <w:tc>
          <w:tcPr>
            <w:tcW w:w="55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getPlaceID()</w:t>
            </w:r>
            <w:r>
              <w:rPr/>
              <w:t xml:space="preserve"> / </w:t>
            </w:r>
            <w:r>
              <w:rPr>
                <w:rStyle w:val="SourceText"/>
              </w:rPr>
              <w:t>getPlaceIDByName()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Récupère ou crée un lieu</w:t>
            </w:r>
          </w:p>
        </w:tc>
      </w:tr>
      <w:tr>
        <w:trPr/>
        <w:tc>
          <w:tcPr>
            <w:tcW w:w="55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getEntityID()</w:t>
            </w:r>
            <w:r>
              <w:rPr/>
              <w:t xml:space="preserve"> / </w:t>
            </w:r>
            <w:r>
              <w:rPr>
                <w:rStyle w:val="SourceText"/>
              </w:rPr>
              <w:t>getEntityIDByIdno()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Recherche d’entité par nom ou idno</w:t>
            </w:r>
          </w:p>
        </w:tc>
      </w:tr>
      <w:tr>
        <w:trPr/>
        <w:tc>
          <w:tcPr>
            <w:tcW w:w="55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cleanupDate()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Normalisation des dates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Configuration — Mapping des champs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Emphasis"/>
        </w:rPr>
        <w:t xml:space="preserve">Fichier : </w:t>
      </w:r>
      <w:r>
        <w:rPr>
          <w:rStyle w:val="SourceText"/>
        </w:rPr>
        <w:t>conf/importInrap.conf</w:t>
      </w:r>
    </w:p>
    <w:tbl>
      <w:tblPr>
        <w:tblW w:w="672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41"/>
        <w:gridCol w:w="4381"/>
      </w:tblGrid>
      <w:tr>
        <w:trPr/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Propriété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metadata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Chemin du métadonnée CA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label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Libellé dans l’interface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type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standard</w:t>
            </w:r>
            <w:r>
              <w:rPr/>
              <w:t xml:space="preserve">, </w:t>
            </w:r>
            <w:r>
              <w:rPr>
                <w:rStyle w:val="SourceText"/>
              </w:rPr>
              <w:t>title</w:t>
            </w:r>
            <w:r>
              <w:rPr/>
              <w:t xml:space="preserve">, </w:t>
            </w:r>
            <w:r>
              <w:rPr>
                <w:rStyle w:val="SourceText"/>
              </w:rPr>
              <w:t>relation</w:t>
            </w:r>
            <w:r>
              <w:rPr/>
              <w:t xml:space="preserve">, </w:t>
            </w:r>
            <w:r>
              <w:rPr>
                <w:rStyle w:val="SourceText"/>
              </w:rPr>
              <w:t>idno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relation_table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Table cible de la relation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relation_type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ID du type de relation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container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Container parent pour champs groupés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canBeMultiple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1</w:t>
            </w:r>
            <w:r>
              <w:rPr/>
              <w:t xml:space="preserve"> = valeurs multiples (séparateur « ; »)</w:t>
            </w:r>
          </w:p>
        </w:tc>
      </w:tr>
    </w:tbl>
    <w:p>
      <w:pPr>
        <w:pStyle w:val="Heading3"/>
        <w:bidi w:val="0"/>
        <w:jc w:val="left"/>
        <w:rPr/>
      </w:pPr>
      <w:r>
        <w:rPr/>
        <w:t>Types d’import configurés</w:t>
      </w:r>
    </w:p>
    <w:tbl>
      <w:tblPr>
        <w:tblW w:w="72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99"/>
        <w:gridCol w:w="1101"/>
        <w:gridCol w:w="3464"/>
      </w:tblGrid>
      <w:tr>
        <w:trPr/>
        <w:tc>
          <w:tcPr>
            <w:tcW w:w="2699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Section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Nb champs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Champs principaux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mobilier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40+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idno, identification, matériaux, dimensions, poids, commune, contenant, période, notes, labo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operation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11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idno, parcelle, responsable, lieu-dit, année, n° OA, type, commune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documentation_numerique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14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idno, titre, code OA, contenant, auteur, famille, support, format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documentation_ecrite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13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idno, code OA, contenant, auteur, famille, support, format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musee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25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idno, commune, matériaux, dimensions, bibliographie, période, domaine, lien externe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contenant_mobilier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13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idno, code INRAP, dimensions, matériaux, emplacements, référentiels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contenant_doc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6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idno, code INRAP, emplacements, référentiels, description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contenant_num</w:t>
            </w:r>
          </w:p>
        </w:tc>
        <w:tc>
          <w:tcPr>
            <w:tcW w:w="11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8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idno, code INRAP, matériaux, emplacements, référentiels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Structure des fichiers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>importInrap/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importInrapPlugin.php              # Classe principale du plugin (hooks)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conf/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importInrap.conf                 # Configuration et mapping (600+ lignes)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controllers/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ImportController.php             # Contrôleur (5 actions, 256 lignes)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lib/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_importObject.php                # Import objets (222 lignes)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_importCollection.php            # Import collections (121 lignes)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migration_functionlib.php        # 20 fonctions utilitaires (561 lignes)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views/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index_html.php                   # Page d'accueil (type + upload)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select_sheet_html.php            # Sélection de la feuille Excel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before_import_html.php           # Mapping colonnes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select_line_html.php             # Sélection des lignes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progress_html.php                # Barre de progression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imported_html.php                # Page de succès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temp/                              # Fichiers temporaires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 xml:space="preserve">  </w:t>
      </w:r>
      <w:r>
        <w:rPr/>
        <w:t>backup/                            # Copies de sauvegarde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Dépendances et interactions</w:t>
      </w:r>
    </w:p>
    <w:tbl>
      <w:tblPr>
        <w:tblW w:w="72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61"/>
        <w:gridCol w:w="4103"/>
      </w:tblGrid>
      <w:tr>
        <w:trPr/>
        <w:tc>
          <w:tcPr>
            <w:tcW w:w="316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Composant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Type d’interaction</w:t>
            </w:r>
          </w:p>
        </w:tc>
      </w:tr>
      <w:tr>
        <w:trPr/>
        <w:tc>
          <w:tcPr>
            <w:tcW w:w="31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Emphasis"/>
              </w:rPr>
              <w:t>PhpSpreadsheet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Lecture des fichiers Excel (XLS, XLSX). Chargée via Composer.</w:t>
            </w:r>
          </w:p>
        </w:tc>
      </w:tr>
      <w:tr>
        <w:trPr/>
        <w:tc>
          <w:tcPr>
            <w:tcW w:w="31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Emphasis"/>
              </w:rPr>
              <w:t>EntitySearch / PlaceSearch / etc.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Classes de recherche CA pour retrouver entités, lieux, emplacements, objets.</w:t>
            </w:r>
          </w:p>
        </w:tc>
      </w:tr>
      <w:tr>
        <w:trPr/>
        <w:tc>
          <w:tcPr>
            <w:tcW w:w="31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Emphasis"/>
              </w:rPr>
              <w:t>ApplicationPluginManager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Déclenche </w:t>
            </w:r>
            <w:r>
              <w:rPr>
                <w:rStyle w:val="SourceText"/>
              </w:rPr>
              <w:t>hookSaveItem</w:t>
            </w:r>
            <w:r>
              <w:rPr/>
              <w:t xml:space="preserve"> / </w:t>
            </w:r>
            <w:r>
              <w:rPr>
                <w:rStyle w:val="SourceText"/>
              </w:rPr>
              <w:t>hookEditItem</w:t>
            </w:r>
            <w:r>
              <w:rPr/>
              <w:t xml:space="preserve"> après chaque import.</w:t>
            </w:r>
          </w:p>
        </w:tc>
      </w:tr>
      <w:tr>
        <w:trPr/>
        <w:tc>
          <w:tcPr>
            <w:tcW w:w="31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Emphasis"/>
              </w:rPr>
              <w:t>prepopulateInrap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Le hook </w:t>
            </w:r>
            <w:r>
              <w:rPr>
                <w:rStyle w:val="SourceText"/>
              </w:rPr>
              <w:t>hookSaveItem</w:t>
            </w:r>
            <w:r>
              <w:rPr/>
              <w:t xml:space="preserve"> déclenche les calculs automatiques (volumes, comptages).</w:t>
            </w:r>
          </w:p>
        </w:tc>
      </w:tr>
    </w:tbl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4" w:space="11" w:color="F39C12"/>
          <w:shd w:fill="FEF9E7" w:val="clear"/>
        </w:rPr>
        <w:t>PhpSpreadsheet requis :</w:t>
      </w:r>
      <w:r>
        <w:rPr>
          <w:bdr w:val="single" w:sz="24" w:space="11" w:color="F39C12"/>
          <w:shd w:fill="FEF9E7" w:val="clear"/>
        </w:rPr>
        <w:t xml:space="preserve"> la bibliothèque </w:t>
      </w:r>
      <w:r>
        <w:rPr>
          <w:rStyle w:val="SourceText"/>
          <w:bdr w:val="single" w:sz="24" w:space="11" w:color="F39C12"/>
          <w:shd w:fill="FEF9E7" w:val="clear"/>
        </w:rPr>
        <w:t>PhpOffice/PhpSpreadsheet</w:t>
      </w:r>
      <w:r>
        <w:rPr>
          <w:bdr w:val="single" w:sz="24" w:space="11" w:color="F39C12"/>
          <w:shd w:fill="FEF9E7" w:val="clear"/>
        </w:rPr>
        <w:t xml:space="preserve"> doit être installée via Composer.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Activation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Le plugin est </w:t>
      </w:r>
      <w:r>
        <w:rPr>
          <w:rStyle w:val="StrongEmphasis"/>
        </w:rPr>
        <w:t>activé par défaut</w:t>
      </w:r>
      <w:r>
        <w:rPr/>
        <w:t xml:space="preserve"> (</w:t>
      </w:r>
      <w:r>
        <w:rPr>
          <w:rStyle w:val="SourceText"/>
        </w:rPr>
        <w:t>enabled = 1</w:t>
      </w:r>
      <w:r>
        <w:rPr/>
        <w:t>).</w:t>
      </w:r>
    </w:p>
    <w:p>
      <w:pPr>
        <w:pStyle w:val="Heading3"/>
        <w:bidi w:val="0"/>
        <w:jc w:val="left"/>
        <w:rPr/>
      </w:pPr>
      <w:r>
        <w:rPr/>
        <w:t>Prérequis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PhpSpreadsheet</w:t>
      </w:r>
      <w:r>
        <w:rPr/>
        <w:t xml:space="preserve"> installé via Composer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Répertoire </w:t>
      </w:r>
      <w:r>
        <w:rPr>
          <w:rStyle w:val="SourceText"/>
        </w:rPr>
        <w:t>temp/</w:t>
      </w:r>
      <w:r>
        <w:rPr/>
        <w:t xml:space="preserve"> accessible en écriture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Mapping configuré dans </w:t>
      </w:r>
      <w:r>
        <w:rPr>
          <w:rStyle w:val="SourceText"/>
        </w:rPr>
        <w:t>conf/importInrap.conf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Types d’objets et relations référencés existants dans la base </w:t>
      </w:r>
    </w:p>
    <w:p>
      <w:pPr>
        <w:pStyle w:val="TextBody"/>
        <w:bidi w:val="0"/>
        <w:spacing w:before="450" w:after="120"/>
        <w:jc w:val="left"/>
        <w:rPr/>
      </w:pPr>
      <w:r>
        <w:rPr>
          <w:rStyle w:val="StrongEmphasis"/>
          <w:shd w:fill="ECF0F1" w:val="clear"/>
        </w:rPr>
        <w:t>Date de documentation :</w:t>
      </w:r>
      <w:r>
        <w:rPr>
          <w:shd w:fill="ECF0F1" w:val="clear"/>
        </w:rPr>
        <w:t xml:space="preserve"> 2026-02-15</w:t>
        <w:br/>
      </w:r>
      <w:r>
        <w:rPr>
          <w:rStyle w:val="StrongEmphasis"/>
          <w:shd w:fill="ECF0F1" w:val="clear"/>
        </w:rPr>
        <w:t>Plugin :</w:t>
      </w:r>
      <w:r>
        <w:rPr>
          <w:shd w:fill="ECF0F1" w:val="clear"/>
        </w:rPr>
        <w:t xml:space="preserve"> importInrap</w:t>
        <w:br/>
      </w:r>
      <w:r>
        <w:rPr>
          <w:rStyle w:val="StrongEmphasis"/>
          <w:shd w:fill="ECF0F1" w:val="clear"/>
        </w:rPr>
        <w:t>Version CollectiveAccess :</w:t>
      </w:r>
      <w:r>
        <w:rPr>
          <w:shd w:fill="ECF0F1" w:val="clear"/>
        </w:rPr>
        <w:t xml:space="preserve"> Providence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 w:before="600" w:after="600"/>
      <w:ind w:left="600" w:right="600" w:hanging="0"/>
    </w:pPr>
    <w:rPr>
      <w:rFonts w:ascii="Calibri;Arial;sans-serif" w:hAnsi="Calibri;Arial;sans-serif" w:eastAsia="Calibri;Arial;sans-serif" w:cs="Calibri;Arial;sans-serif"/>
      <w:color w:val="333333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8" w:space="8" w:color="3498DB"/>
      </w:pBdr>
      <w:spacing w:before="450" w:after="283"/>
    </w:pPr>
    <w:rPr>
      <w:rFonts w:ascii="Liberation Sans Unicode MS" w:hAnsi="Liberation Sans Unicode MS"/>
      <w:b/>
      <w:bCs/>
      <w:color w:val="2C3E50"/>
      <w:sz w:val="48"/>
      <w:szCs w:val="44"/>
    </w:rPr>
  </w:style>
  <w:style w:type="paragraph" w:styleId="Heading2">
    <w:name w:val="Heading 2"/>
    <w:basedOn w:val="Heading"/>
    <w:next w:val="TextBody"/>
    <w:qFormat/>
    <w:pPr>
      <w:pBdr>
        <w:bottom w:val="single" w:sz="12" w:space="6" w:color="95A5A6"/>
      </w:pBdr>
      <w:spacing w:before="525" w:after="120"/>
      <w:outlineLvl w:val="1"/>
    </w:pPr>
    <w:rPr>
      <w:rFonts w:ascii="Liberation Serif" w:hAnsi="Liberation Serif" w:eastAsia="Noto Sans" w:cs="Noto Sans Devanagari"/>
      <w:b/>
      <w:bCs/>
      <w:color w:val="34495E"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300" w:after="120"/>
      <w:outlineLvl w:val="2"/>
    </w:pPr>
    <w:rPr>
      <w:rFonts w:ascii="Liberation Serif" w:hAnsi="Liberation Serif" w:eastAsia="Noto Sans" w:cs="Noto Sans Devanagari"/>
      <w:b/>
      <w:bCs/>
      <w:color w:val="2980B9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4F4F4" w:val="clear"/>
    </w:rPr>
  </w:style>
  <w:style w:type="character" w:styleId="StrongEmphasis">
    <w:name w:val="Strong"/>
    <w:qFormat/>
    <w:rPr>
      <w:b/>
      <w:bCs/>
      <w:color w:val="2C3E50"/>
    </w:rPr>
  </w:style>
  <w:style w:type="character" w:styleId="Emphasis">
    <w:name w:val="Emphasis"/>
    <w:qFormat/>
    <w:rPr>
      <w:i/>
      <w:iCs/>
      <w:color w:val="7F8C8D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419" w:leader="none"/>
        <w:tab w:val="right" w:pos="102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before="120" w:after="120"/>
      <w:ind w:left="120" w:right="120" w:hanging="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9" w:color="DDDDDD"/>
        <w:left w:val="single" w:sz="2" w:space="9" w:color="DDDDDD"/>
        <w:bottom w:val="single" w:sz="2" w:space="9" w:color="DDDDDD"/>
      </w:pBdr>
      <w:shd w:fill="F4F4F4" w:val="clear"/>
      <w:spacing w:lineRule="auto" w:line="360" w:before="60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3498DB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Documentation technique — importInrap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