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GLPPortal — Resumo Executivo</w:t>
      </w:r>
    </w:p>
    <w:p>
      <w:r>
        <w:rPr>
          <w:sz w:val="22"/>
        </w:rPr>
        <w:t>GeneXus 18 — 5517 objetos analisados</w:t>
        <w:br/>
      </w:r>
    </w:p>
    <w:p>
      <w:pPr>
        <w:spacing w:before="200"/>
      </w:pPr>
      <w:r>
        <w:rPr>
          <w:b w:val="on"/>
          <w:sz w:val="28"/>
          <w:u w:val="single"/>
        </w:rPr>
        <w:t>Visão geral</w:t>
      </w:r>
    </w:p>
    <w:p>
      <w:r>
        <w:rPr>
          <w:sz w:val="22"/>
        </w:rPr>
        <w:t>Esta KB GeneXus contém 5517 objetos no total, distribuídos entre 15 tipos identificados. A KB foi exportada de GeneXus 18 e contém 844 procedures, 589 web panels, 159 transactions e 376 domains. Foram detectadas 290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Distribuição por tipo (top kinds)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Tipo</w:t>
            </w:r>
          </w:p>
        </w:tc>
        <w:tc>
          <w:p>
            <w:r>
              <w:t>Qtde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1446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844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589</w:t>
            </w:r>
          </w:p>
        </w:tc>
      </w:tr>
      <w:tr>
        <w:tc>
          <w:p>
            <w:r>
              <w:t>UNKNOWN</w:t>
            </w:r>
          </w:p>
        </w:tc>
        <w:tc>
          <w:p>
            <w:r>
              <w:t>495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376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281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263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250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238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168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Sinais de complexidade</w:t>
      </w:r>
    </w:p>
    <w:p>
      <w:r>
        <w:rPr>
          <w:sz w:val="22"/>
        </w:rPr>
        <w:t>• Patterns WorkWithPlus detectados: 3</w:t>
        <w:br/>
      </w:r>
    </w:p>
    <w:p>
      <w:r>
        <w:rPr>
          <w:sz w:val="22"/>
        </w:rPr>
        <w:t>• Traduções inline: 3109</w:t>
        <w:br/>
      </w:r>
    </w:p>
    <w:p>
      <w:r>
        <w:rPr>
          <w:sz w:val="22"/>
        </w:rPr>
        <w:t>• GUIDs sem mapping: 21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2026-05-08T01:24:52Z</dcterms:created>
  <dc:creator>Apache POI</dc:creator>
</cp:coreProperties>
</file>