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АНАЛИЗ ПРЕДМЕТНОЙ ОБЛАСТИ</w:t>
      </w:r>
    </w:p>
    <w:p w:rsidR="00000000" w:rsidDel="00000000" w:rsidP="00000000" w:rsidRDefault="00000000" w:rsidRPr="00000000" w14:paraId="00000002">
      <w:pPr>
        <w:spacing w:after="0" w:before="12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Настоящий анализ предметной области выполнен для проекта по разработке программного обеспечения, предназначенного для автоматизации ключевых бизнес-процессов в аптеке. Целью анализа является формализация требований к системе, выявление проблемных мест в существующих процессах и определение функциональных возможностей будущего приложения.</w:t>
      </w:r>
    </w:p>
    <w:p w:rsidR="00000000" w:rsidDel="00000000" w:rsidP="00000000" w:rsidRDefault="00000000" w:rsidRPr="00000000" w14:paraId="00000003">
      <w:pPr>
        <w:spacing w:after="120" w:before="240" w:line="360" w:lineRule="auto"/>
        <w:ind w:firstLine="709"/>
        <w:jc w:val="both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1 Описание предметной области</w:t>
      </w:r>
    </w:p>
    <w:p w:rsidR="00000000" w:rsidDel="00000000" w:rsidP="00000000" w:rsidRDefault="00000000" w:rsidRPr="00000000" w14:paraId="00000004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Аптека является специализированным предприятием розничной торговли, осуществляющим реализацию лекарственных средств (ЛС), парафармацевтической (лекарства и медицинские изделия) продукции и сопутствующих товаров. Деятельность аптеки строго регламентирована законодательством, что накладывает специфические требования к учёту, хранению и отпуску товаров. Ключевые процессы включают: складской учёт, управление ассортиментом, продажи, контроль сроков годности, формирование отчётности и соблюдение лицензионных требований.</w:t>
      </w:r>
    </w:p>
    <w:p w:rsidR="00000000" w:rsidDel="00000000" w:rsidP="00000000" w:rsidRDefault="00000000" w:rsidRPr="00000000" w14:paraId="00000005">
      <w:pPr>
        <w:spacing w:after="120" w:before="240" w:line="360" w:lineRule="auto"/>
        <w:ind w:firstLine="709"/>
        <w:jc w:val="both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2 Решаемые задачи и их исполнители</w:t>
      </w:r>
    </w:p>
    <w:p w:rsidR="00000000" w:rsidDel="00000000" w:rsidP="00000000" w:rsidRDefault="00000000" w:rsidRPr="00000000" w14:paraId="00000006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Задачи в аптеке решаются сотрудниками различных должностных категорий, каждая из которых обладает уникальным набором функций и уровнем доступа к информации. Управление аптекой осуществляется следующими сотрудниками: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провизор-технолог/фармацевт: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консультация покупателей, проверка рецептов, подбор аналогов, непосредственный отпуск лекарственных средств;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приёмка товара от поставщиков, сверка накладных, размещение на витринах и складских зонах, ежедневная инвентаризация остатков, контроль соблюдения условий хранения (температурный режим, влажность), мониторинг критических сроков годности;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работа с документацией, оформление и учёт рецептов, ведение журналов предметно-количественный учёт (ПКУ), оформление актов списания просроченной продукции;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старший провизор/заведующий аптекой (зав. аптекой):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управление ассортиментом, формирование заявок поставщикам, анализ оборачиваемости товаров, определение неликвидов, планирование закупок;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финансово-экономический анализ, контроль рентабельности, формирование цен, анализ продаж, планирование выручки;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отчётность, формирование регламентированной отчётности для органов здравоохранения (Росздравнадзор) и внутренней отчётности для собственников;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управление персоналом, составление графиков работы, контроль выполнения должностных инструкций.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09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Ключевые документы, используемые в аптеке: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1. Рецепт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1d35"/>
          <w:sz w:val="22"/>
          <w:szCs w:val="22"/>
          <w:highlight w:val="white"/>
          <w:u w:val="none"/>
          <w:vertAlign w:val="baseline"/>
          <w:rtl w:val="0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документ, выписываемый медицинским работником, служащий основанием для отпуска лекарственного препарата. Документ рецепта представлен на рисунке 1: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09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0" distT="0" distL="0" distR="0">
            <wp:extent cx="3072691" cy="3800723"/>
            <wp:effectExtent b="0" l="0" r="0" t="0"/>
            <wp:docPr descr="Picture background" id="1" name="image1.jpg"/>
            <a:graphic>
              <a:graphicData uri="http://schemas.openxmlformats.org/drawingml/2006/picture">
                <pic:pic>
                  <pic:nvPicPr>
                    <pic:cNvPr descr="Picture background"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72691" cy="380072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09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Рисунок 1 – Документ рецепта.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2. Чек – фискальный документ, подтверждающий факт покупки и её оплаты. Пример чека представлен на рисунке 2: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09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2136140" cy="4010117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36140" cy="401011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09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Рисунок 2 – Пример кассового чека.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3. Накладная – документ, сопровождающий движение товарно-материальных ценностей. Документ накладной представлен на рисунке 3: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09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0" distT="0" distL="0" distR="0">
            <wp:extent cx="3088640" cy="3968434"/>
            <wp:effectExtent b="0" l="0" r="0" t="0"/>
            <wp:docPr descr="Picture background" id="2" name="image3.jpg"/>
            <a:graphic>
              <a:graphicData uri="http://schemas.openxmlformats.org/drawingml/2006/picture">
                <pic:pic>
                  <pic:nvPicPr>
                    <pic:cNvPr descr="Picture background" id="0" name="image3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88640" cy="396843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09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Рисунок 3 – Документ накладной.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4. Акт инвентаризации – основной документ, отражающий результаты проверки фактического наличия товарно-материальных ценностей. Документ акта инвентаризации представлен на рисунке 4: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09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0" distT="0" distL="0" distR="0">
            <wp:extent cx="5367495" cy="2599048"/>
            <wp:effectExtent b="0" l="0" r="0" t="0"/>
            <wp:docPr descr="Picture background" id="5" name="image5.jpg"/>
            <a:graphic>
              <a:graphicData uri="http://schemas.openxmlformats.org/drawingml/2006/picture">
                <pic:pic>
                  <pic:nvPicPr>
                    <pic:cNvPr descr="Picture background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67495" cy="25990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09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Рисунок 4 – Документ акта инвентаризации.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5. Финансовый отчёт/Ведомость – обобщающий документ, отражающий финансовые результаты деятельности аптеки за определённый период. Финансовый отчёт представлен на рисунке 5: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09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0" distT="0" distL="0" distR="0">
            <wp:extent cx="3123627" cy="4399830"/>
            <wp:effectExtent b="0" l="0" r="0" t="0"/>
            <wp:docPr descr="Picture background" id="4" name="image4.jpg"/>
            <a:graphic>
              <a:graphicData uri="http://schemas.openxmlformats.org/drawingml/2006/picture">
                <pic:pic>
                  <pic:nvPicPr>
                    <pic:cNvPr descr="Picture background" id="0" name="image4.jp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23627" cy="43998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09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Рисунок 5 – Финансовый (товарный) отчёт.</w:t>
      </w:r>
    </w:p>
    <w:p w:rsidR="00000000" w:rsidDel="00000000" w:rsidP="00000000" w:rsidRDefault="00000000" w:rsidRPr="00000000" w14:paraId="00000020">
      <w:pPr>
        <w:spacing w:after="120" w:before="240" w:line="360" w:lineRule="auto"/>
        <w:ind w:firstLine="709"/>
        <w:jc w:val="both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3 Трудозатраты при существующей организации процессов</w:t>
      </w:r>
    </w:p>
    <w:p w:rsidR="00000000" w:rsidDel="00000000" w:rsidP="00000000" w:rsidRDefault="00000000" w:rsidRPr="00000000" w14:paraId="00000021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 отсутствии комплексной автоматизации или использовании устаревших систем (например, на основе бумажных носителей и электронных таблиц) наблюдаются значительные трудозатраты.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временные ресурсы: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ручной поиск информации о наличии и цене товара удлиняет процесс обслуживания одного покупателя;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ежедневная инвентаризация остатков требует нескольких часов работы сотрудника;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формирование заказа поставщику вручную на основе анализа бумажных остатков является крайне трудоёмким процессом с высоким риском ошибок;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подготовка ежемесячных отчётов занимает от нескольких часов до нескольких дней;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финансовые ресурсы: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прямые финансовые потери возникают из-за человеческого фактора: ошибки при отпуске (неправильная цена, срок годности), пропущенные сроки годности, ведущие к списанию товара;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нерациональное управление запасами приводит к замораживанию средств в необорачиваемых товарах или, наоборот, к упущенной выгоде из-за отсутствия ходовых позиций;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неэффективное использование рабочего времени высококвалифицированного персонала на рутинные операции ведёт к повышенным фондам оплаты труда;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материальные ресурсы: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значительный объём бумажной документации: журналы, акты, накладные, рецепты; это влечёт затраты на бумагу, картриджи, архивирование и хранение.</w:t>
      </w:r>
    </w:p>
    <w:p w:rsidR="00000000" w:rsidDel="00000000" w:rsidP="00000000" w:rsidRDefault="00000000" w:rsidRPr="00000000" w14:paraId="0000002D">
      <w:pPr>
        <w:spacing w:after="120" w:before="240" w:line="360" w:lineRule="auto"/>
        <w:ind w:firstLine="709"/>
        <w:jc w:val="both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4 Фокус внимания при автоматизации</w:t>
      </w:r>
    </w:p>
    <w:p w:rsidR="00000000" w:rsidDel="00000000" w:rsidP="00000000" w:rsidRDefault="00000000" w:rsidRPr="00000000" w14:paraId="0000002E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Разрабатываемая система должна быть сконцентрирована на решении ключевых проблемных точек: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Централизованное управление данными. Подразумевает создание единой реляционной базы данных, аккумулирующей всю информацию о товарных позициях. Данный подход обеспечивает целостность, непротиворечивость и актуальность информации на всех участках работы.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Оптимизация процесса продаж.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Реализация интуитивного графического интерфейса для оперативного обслуживания покупателей. Ключевые функции: мгновенный поиск товара по штрихкоду или названию с отображением актуальной цены и остатка, автоматический расчёт общей суммы чека, фиксация факта продажи с одновременным списанием проданного количества товара с остатка в базе данных.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Автоматизация учётных процедур. Разработка механизмов для упрощения операций складского учёта. Функционал включает: внесение данных о новых партиях товара с привязкой к номенклатуре и поставщику, проведение инвентаризации остатков.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Базовый аналитический функционал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Внедрение инструментов для первичного анализа операционных данных. Система предоставляет возможность просмотра истории продаж по конкретным позициям за выбранный временной интервал, а также формирования данных об объёме выручки за период. Визуализация ограничивается табличным представлением данных, достаточным для оценки текущей ситуации.</w:t>
      </w:r>
    </w:p>
    <w:p w:rsidR="00000000" w:rsidDel="00000000" w:rsidP="00000000" w:rsidRDefault="00000000" w:rsidRPr="00000000" w14:paraId="00000033">
      <w:pPr>
        <w:spacing w:after="0" w:before="12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Проведённый анализ демонстрирует высокую потребность в специализированном программном обеспечении для аптеки. Внедрение системы, включающей графический интерфейс, реляционную базу данных и модули для учёта, продаж и аналитики, позволит существенно снизить трудозатраты по всем ресурсам, минимизировать ошибки, повысить скорость обслуживания клиентов и обеспечить основу для эффективного управленческого контроля.</w:t>
      </w:r>
    </w:p>
    <w:p w:rsidR="00000000" w:rsidDel="00000000" w:rsidP="00000000" w:rsidRDefault="00000000" w:rsidRPr="00000000" w14:paraId="00000034">
      <w:pPr>
        <w:spacing w:after="0" w:before="12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ПРОЕКТИРОВАНИЕ БАЗЫ ДАННЫХ</w:t>
      </w:r>
    </w:p>
    <w:p w:rsidR="00000000" w:rsidDel="00000000" w:rsidP="00000000" w:rsidRDefault="00000000" w:rsidRPr="00000000" w14:paraId="00000036">
      <w:pPr>
        <w:spacing w:after="0" w:before="12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Спроектированная база данных предназначена для централизованного хранения и управления всей информацией, необходимой для функционирования автоматизированной системы аптеки. Структура БД включает следующие сущности:</w:t>
      </w:r>
    </w:p>
    <w:p w:rsidR="00000000" w:rsidDel="00000000" w:rsidP="00000000" w:rsidRDefault="00000000" w:rsidRPr="00000000" w14:paraId="00000037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 Suppliers – хранит информацию о компаниях-поставщиках фармацевтической продукции.</w:t>
      </w:r>
    </w:p>
    <w:p w:rsidR="00000000" w:rsidDel="00000000" w:rsidP="00000000" w:rsidRDefault="00000000" w:rsidRPr="00000000" w14:paraId="00000038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Таблица 1 – Сущность Suppliers (Поставщики).</w:t>
      </w:r>
    </w:p>
    <w:tbl>
      <w:tblPr>
        <w:tblStyle w:val="Table1"/>
        <w:tblW w:w="93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35"/>
        <w:gridCol w:w="2385"/>
        <w:gridCol w:w="4995"/>
        <w:tblGridChange w:id="0">
          <w:tblGrid>
            <w:gridCol w:w="1935"/>
            <w:gridCol w:w="2385"/>
            <w:gridCol w:w="499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Название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Тип поля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Описание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 (PK, AI)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f1115"/>
                <w:sz w:val="24"/>
                <w:szCs w:val="24"/>
                <w:rtl w:val="0"/>
              </w:rPr>
              <w:t xml:space="preserve">Уникальный идентификатор поставщика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VARCHAR(100)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Наименование поставщика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f1115"/>
                <w:sz w:val="24"/>
                <w:szCs w:val="24"/>
                <w:rtl w:val="0"/>
              </w:rPr>
              <w:t xml:space="preserve">contact_person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f1115"/>
                <w:sz w:val="24"/>
                <w:szCs w:val="24"/>
                <w:rtl w:val="0"/>
              </w:rPr>
              <w:t xml:space="preserve">VARCHAR(100)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f1115"/>
                <w:sz w:val="24"/>
                <w:szCs w:val="24"/>
                <w:rtl w:val="0"/>
              </w:rPr>
              <w:t xml:space="preserve">ФИО контактного лица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f1115"/>
                <w:sz w:val="24"/>
                <w:szCs w:val="24"/>
                <w:rtl w:val="0"/>
              </w:rPr>
              <w:t xml:space="preserve">phone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f1115"/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f1115"/>
                <w:sz w:val="24"/>
                <w:szCs w:val="24"/>
                <w:rtl w:val="0"/>
              </w:rPr>
              <w:t xml:space="preserve">Контактный телефон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f1115"/>
                <w:sz w:val="24"/>
                <w:szCs w:val="24"/>
                <w:rtl w:val="0"/>
              </w:rPr>
              <w:t xml:space="preserve">address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f1115"/>
                <w:sz w:val="24"/>
                <w:szCs w:val="24"/>
                <w:rtl w:val="0"/>
              </w:rPr>
              <w:t xml:space="preserve">VARCHAR(200)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f1115"/>
                <w:sz w:val="24"/>
                <w:szCs w:val="24"/>
                <w:rtl w:val="0"/>
              </w:rPr>
              <w:t xml:space="preserve">Юридический адрес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numPr>
          <w:ilvl w:val="0"/>
          <w:numId w:val="1"/>
        </w:numPr>
        <w:spacing w:after="0" w:before="240" w:line="360" w:lineRule="auto"/>
        <w:ind w:left="0" w:firstLine="708.6614173228347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Categories – содержит категории для группировки товаров.</w:t>
      </w:r>
    </w:p>
    <w:p w:rsidR="00000000" w:rsidDel="00000000" w:rsidP="00000000" w:rsidRDefault="00000000" w:rsidRPr="00000000" w14:paraId="0000004C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Таблица 2 – Сущность Categories (Категории товаров).</w:t>
      </w:r>
    </w:p>
    <w:tbl>
      <w:tblPr>
        <w:tblStyle w:val="Table2"/>
        <w:tblW w:w="93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35"/>
        <w:gridCol w:w="2430"/>
        <w:gridCol w:w="4950"/>
        <w:tblGridChange w:id="0">
          <w:tblGrid>
            <w:gridCol w:w="1935"/>
            <w:gridCol w:w="2430"/>
            <w:gridCol w:w="495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Название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Тип поля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Описание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 (PK, AI)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Уникальный идентификатор категории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VARCHAR(50)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Наименование категории</w:t>
            </w:r>
          </w:p>
        </w:tc>
      </w:tr>
    </w:tbl>
    <w:p w:rsidR="00000000" w:rsidDel="00000000" w:rsidP="00000000" w:rsidRDefault="00000000" w:rsidRPr="00000000" w14:paraId="00000056">
      <w:pPr>
        <w:numPr>
          <w:ilvl w:val="0"/>
          <w:numId w:val="1"/>
        </w:numPr>
        <w:spacing w:after="0" w:before="24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Products – центральный справочник всей номенклатуры аптеки.</w:t>
      </w:r>
    </w:p>
    <w:p w:rsidR="00000000" w:rsidDel="00000000" w:rsidP="00000000" w:rsidRDefault="00000000" w:rsidRPr="00000000" w14:paraId="00000057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Таблица 3 – Сущность Products (Товары).</w:t>
      </w:r>
    </w:p>
    <w:tbl>
      <w:tblPr>
        <w:tblStyle w:val="Table3"/>
        <w:tblW w:w="93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75"/>
        <w:gridCol w:w="2355"/>
        <w:gridCol w:w="4785"/>
        <w:tblGridChange w:id="0">
          <w:tblGrid>
            <w:gridCol w:w="2175"/>
            <w:gridCol w:w="2355"/>
            <w:gridCol w:w="478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Название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Тип поля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Описание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 (PK, AI)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Уникальный идентификатор товара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VARCHAR(200)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Наименование товара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category_id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 (FK)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Идентификатор категории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supplier_id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 (FK)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Идентификатор поставщика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purchase_price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DECIMAL(10,2)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Цена закупки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sale_price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DECIMAL(10,2)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Цена продажи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quantity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Количество на складе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production_date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Дата производства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expiry_date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Срок годности</w:t>
            </w:r>
          </w:p>
        </w:tc>
      </w:tr>
    </w:tbl>
    <w:p w:rsidR="00000000" w:rsidDel="00000000" w:rsidP="00000000" w:rsidRDefault="00000000" w:rsidRPr="00000000" w14:paraId="00000076">
      <w:pPr>
        <w:numPr>
          <w:ilvl w:val="0"/>
          <w:numId w:val="1"/>
        </w:numPr>
        <w:spacing w:after="0" w:before="24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Sales – содержит информацию о совершенных продажах.</w:t>
      </w:r>
    </w:p>
    <w:p w:rsidR="00000000" w:rsidDel="00000000" w:rsidP="00000000" w:rsidRDefault="00000000" w:rsidRPr="00000000" w14:paraId="00000077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Таблица 4 – Сущность Sales (Продажи).</w:t>
      </w:r>
    </w:p>
    <w:tbl>
      <w:tblPr>
        <w:tblStyle w:val="Table4"/>
        <w:tblW w:w="93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60"/>
        <w:gridCol w:w="2400"/>
        <w:gridCol w:w="4755"/>
        <w:tblGridChange w:id="0">
          <w:tblGrid>
            <w:gridCol w:w="2160"/>
            <w:gridCol w:w="2400"/>
            <w:gridCol w:w="475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Название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Тип поля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Описание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 (PK, AI)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Уникальный идентификатор продажи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product_id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 (FK)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Идентификатор товара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sale_date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DATETIME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Дата и время продажи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quantity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Количество проданного товара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total_amount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DECIMAL(10,2)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Сумма продажи</w:t>
            </w:r>
          </w:p>
        </w:tc>
      </w:tr>
    </w:tbl>
    <w:p w:rsidR="00000000" w:rsidDel="00000000" w:rsidP="00000000" w:rsidRDefault="00000000" w:rsidRPr="00000000" w14:paraId="0000008A">
      <w:pPr>
        <w:numPr>
          <w:ilvl w:val="0"/>
          <w:numId w:val="1"/>
        </w:numPr>
        <w:spacing w:after="0" w:before="24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Inventory – содержит результаты инвентаризаций товаров.</w:t>
      </w:r>
    </w:p>
    <w:p w:rsidR="00000000" w:rsidDel="00000000" w:rsidP="00000000" w:rsidRDefault="00000000" w:rsidRPr="00000000" w14:paraId="0000008B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Таблица 5 – Сущность Inventory (Инвентаризация).</w:t>
      </w:r>
    </w:p>
    <w:tbl>
      <w:tblPr>
        <w:tblStyle w:val="Table5"/>
        <w:tblW w:w="93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45"/>
        <w:gridCol w:w="2415"/>
        <w:gridCol w:w="4755"/>
        <w:tblGridChange w:id="0">
          <w:tblGrid>
            <w:gridCol w:w="2145"/>
            <w:gridCol w:w="2415"/>
            <w:gridCol w:w="475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Название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Тип поля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Описание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 (PK, AI)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Уникальный идентификатор записи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product_id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Идентификатор товара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inventory_date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Дата инвентаризации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actual_quantity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Фактическое количество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system_quantity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Количество в системе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difference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Разница количеств</w:t>
            </w:r>
          </w:p>
        </w:tc>
      </w:tr>
    </w:tbl>
    <w:p w:rsidR="00000000" w:rsidDel="00000000" w:rsidP="00000000" w:rsidRDefault="00000000" w:rsidRPr="00000000" w14:paraId="000000A1">
      <w:pPr>
        <w:spacing w:after="0" w:before="24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Связи сущностей в базе данных:</w:t>
      </w:r>
    </w:p>
    <w:p w:rsidR="00000000" w:rsidDel="00000000" w:rsidP="00000000" w:rsidRDefault="00000000" w:rsidRPr="00000000" w14:paraId="000000A2">
      <w:pPr>
        <w:numPr>
          <w:ilvl w:val="0"/>
          <w:numId w:val="2"/>
        </w:numPr>
        <w:spacing w:after="0" w:before="0" w:line="360" w:lineRule="auto"/>
        <w:ind w:left="0" w:firstLine="708.6614173228347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таблица Suppliers связана с таблицей Products отношением «один ко многим»;</w:t>
      </w:r>
    </w:p>
    <w:p w:rsidR="00000000" w:rsidDel="00000000" w:rsidP="00000000" w:rsidRDefault="00000000" w:rsidRPr="00000000" w14:paraId="000000A3">
      <w:pPr>
        <w:numPr>
          <w:ilvl w:val="0"/>
          <w:numId w:val="2"/>
        </w:numPr>
        <w:spacing w:after="0" w:before="0" w:line="360" w:lineRule="auto"/>
        <w:ind w:left="0" w:firstLine="708.6614173228347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таблица Products связана с таблицей Sales отношением «один ко многим»;</w:t>
      </w:r>
    </w:p>
    <w:p w:rsidR="00000000" w:rsidDel="00000000" w:rsidP="00000000" w:rsidRDefault="00000000" w:rsidRPr="00000000" w14:paraId="000000A4">
      <w:pPr>
        <w:numPr>
          <w:ilvl w:val="0"/>
          <w:numId w:val="2"/>
        </w:numPr>
        <w:spacing w:after="0" w:before="0" w:line="360" w:lineRule="auto"/>
        <w:ind w:left="0" w:firstLine="708.6614173228347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таблица Categories связана с таблицей Products отношением «один ко многим».</w:t>
      </w:r>
    </w:p>
    <w:p w:rsidR="00000000" w:rsidDel="00000000" w:rsidP="00000000" w:rsidRDefault="00000000" w:rsidRPr="00000000" w14:paraId="000000A5">
      <w:pPr>
        <w:spacing w:after="0" w:before="120" w:line="360" w:lineRule="auto"/>
        <w:ind w:left="72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ER-диаграмма базы данных изображена на рисунке 6.</w:t>
      </w:r>
    </w:p>
    <w:p w:rsidR="00000000" w:rsidDel="00000000" w:rsidP="00000000" w:rsidRDefault="00000000" w:rsidRPr="00000000" w14:paraId="000000A6">
      <w:pPr>
        <w:spacing w:after="0" w:before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917565" cy="3294421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17565" cy="329442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0" w:line="360" w:lineRule="auto"/>
        <w:ind w:left="709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6 – ER-диаграмма базы данных.</w:t>
      </w:r>
    </w:p>
    <w:p w:rsidR="00000000" w:rsidDel="00000000" w:rsidP="00000000" w:rsidRDefault="00000000" w:rsidRPr="00000000" w14:paraId="000000A8">
      <w:pPr>
        <w:spacing w:after="0" w:before="12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Структура базы данных обеспечивает целостность хранимой информации, исключает избыточность данных и предоставляет необходимый функционал для автоматизации основных бизнес-процессов аптеки. Реляционная модель позволяет эффективно управлять товарными запасами, отслеживать продажи и проводить инвентаризацию.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2"/>
      <w:numFmt w:val="decimal"/>
      <w:lvlText w:val="%1."/>
      <w:lvlJc w:val="left"/>
      <w:pPr>
        <w:ind w:left="0" w:firstLine="708.6614173228347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6">
    <w:lvl w:ilvl="0">
      <w:start w:val="1"/>
      <w:numFmt w:val="decimal"/>
      <w:lvlText w:val="%1)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7"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bullet"/>
      <w:lvlText w:val="●"/>
      <w:lvlJc w:val="left"/>
      <w:pPr>
        <w:ind w:left="786" w:hanging="360.00000000000006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506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226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946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66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86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106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826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546" w:hanging="360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1"/>
      <w:numFmt w:val="decimal"/>
      <w:lvlText w:val="%1)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0"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r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6.png"/><Relationship Id="rId10" Type="http://schemas.openxmlformats.org/officeDocument/2006/relationships/image" Target="media/image4.jpg"/><Relationship Id="rId9" Type="http://schemas.openxmlformats.org/officeDocument/2006/relationships/image" Target="media/image5.jpg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image" Target="media/image2.png"/><Relationship Id="rId8" Type="http://schemas.openxmlformats.org/officeDocument/2006/relationships/image" Target="media/image3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