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Initial Client Setup Custom</w:t>
      </w:r>
    </w:p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PLUG-IN : </w:t>
      </w:r>
      <w:r w:rsidDel="00000000" w:rsidR="00000000" w:rsidRPr="00000000">
        <w:rPr>
          <w:b w:val="1"/>
          <w:i w:val="1"/>
          <w:rtl w:val="0"/>
        </w:rPr>
        <w:t xml:space="preserve">it.cnet.impl.InitClientSetup_Custom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Processo di inizializzazione dei dati a livello Client e/o System.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b w:val="1"/>
          <w:i w:val="1"/>
          <w:color w:val="6aa84f"/>
        </w:rPr>
      </w:pPr>
      <w:r w:rsidDel="00000000" w:rsidR="00000000" w:rsidRPr="00000000">
        <w:rPr>
          <w:rtl w:val="0"/>
        </w:rPr>
        <w:t xml:space="preserve">Classe java: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6aa84f"/>
          <w:rtl w:val="0"/>
        </w:rPr>
        <w:t xml:space="preserve">it.cnet.idempiere.InitClientSetup_Custom.process.InitialClientSetup_Custom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dati salvati all’interno di 2Pack creati a livello Client, vengono posizionati in una cartella specifica all’interno del server-idempiere.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Ogni 2Pack vengono parametrizzati all’interno del processo, con il loro specifico nome; in base ai 2Pack scelti nella maschera del processo, vengono letti all’interno della cartella e caricati sull’application.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livello System, nella maschera ‘Report &amp; Process’ sono stati creati 2 processi che richiamano la stessa classe java: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Initial Client Setup Process Custom - CLIENT</w:t>
      </w:r>
      <w:r w:rsidDel="00000000" w:rsidR="00000000" w:rsidRPr="00000000">
        <w:rPr>
          <w:rtl w:val="0"/>
        </w:rPr>
        <w:t xml:space="preserve"> = per questo processo settato il campo “Data Access Level(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AccessLevel</w:t>
      </w:r>
      <w:r w:rsidDel="00000000" w:rsidR="00000000" w:rsidRPr="00000000">
        <w:rPr>
          <w:color w:val="333333"/>
          <w:highlight w:val="white"/>
          <w:rtl w:val="0"/>
        </w:rPr>
        <w:t xml:space="preserve">) come - Client+Organization - ; questo processo viene chiamato solo per i 2Pack Tenant(o dati a livello Client…)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Initial Client Setup Process Custom - SYSTEM</w:t>
      </w:r>
      <w:r w:rsidDel="00000000" w:rsidR="00000000" w:rsidRPr="00000000">
        <w:rPr>
          <w:color w:val="333333"/>
          <w:highlight w:val="white"/>
          <w:rtl w:val="0"/>
        </w:rPr>
        <w:t xml:space="preserve">= </w:t>
      </w:r>
      <w:r w:rsidDel="00000000" w:rsidR="00000000" w:rsidRPr="00000000">
        <w:rPr>
          <w:rtl w:val="0"/>
        </w:rPr>
        <w:t xml:space="preserve">per questo processo settato il campo “Data Access Level(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AccessLevel</w:t>
      </w:r>
      <w:r w:rsidDel="00000000" w:rsidR="00000000" w:rsidRPr="00000000">
        <w:rPr>
          <w:color w:val="333333"/>
          <w:highlight w:val="white"/>
          <w:rtl w:val="0"/>
        </w:rPr>
        <w:t xml:space="preserve">) come - System only - ; questo processo viene chiamato solo per i 2Pack dati a livello System, come creazioni di nuove tabelle, regole a livello System,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Nella sottomaschera ‘Parameter’ si dovranno specificare i nomi dei file fisici 2Pack presenti nella cartella, che una volta lanciato la maschera di processo si potranno scegliere tramite selezione di checkbox.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NOTA BENE: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85200c"/>
          <w:rtl w:val="0"/>
        </w:rPr>
        <w:t xml:space="preserve">CAMPO “Name(Nome)”</w:t>
      </w:r>
      <w:r w:rsidDel="00000000" w:rsidR="00000000" w:rsidRPr="00000000">
        <w:rPr>
          <w:rtl w:val="0"/>
        </w:rPr>
        <w:t xml:space="preserve"> = nome/descrizione che compare a video nella maschera del processo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-76198</wp:posOffset>
            </wp:positionH>
            <wp:positionV relativeFrom="paragraph">
              <wp:posOffset>114300</wp:posOffset>
            </wp:positionV>
            <wp:extent cx="6655125" cy="35433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125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85200c"/>
          <w:rtl w:val="0"/>
        </w:rPr>
        <w:t xml:space="preserve">CAMPO “Description(descrizione)”</w:t>
      </w:r>
      <w:r w:rsidDel="00000000" w:rsidR="00000000" w:rsidRPr="00000000">
        <w:rPr>
          <w:rtl w:val="0"/>
        </w:rPr>
        <w:t xml:space="preserve"> = qui </w:t>
      </w:r>
      <w:r w:rsidDel="00000000" w:rsidR="00000000" w:rsidRPr="00000000">
        <w:rPr>
          <w:b w:val="1"/>
          <w:rtl w:val="0"/>
        </w:rPr>
        <w:t xml:space="preserve">SI DEVE SPECIFICARE</w:t>
      </w:r>
      <w:r w:rsidDel="00000000" w:rsidR="00000000" w:rsidRPr="00000000">
        <w:rPr>
          <w:rtl w:val="0"/>
        </w:rPr>
        <w:t xml:space="preserve"> il nome esatto del path del file 2Pack presente in cartella, preceduto da “file:///….” (specifica che serve per il processo…) ; i file devono essere assolutamente senza spazi o con “_”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85200c"/>
          <w:rtl w:val="0"/>
        </w:rPr>
        <w:t xml:space="preserve">CAMPO “DB Column Name”</w:t>
      </w:r>
      <w:r w:rsidDel="00000000" w:rsidR="00000000" w:rsidRPr="00000000">
        <w:rPr>
          <w:rtl w:val="0"/>
        </w:rPr>
        <w:t xml:space="preserve"> = qui </w:t>
      </w:r>
      <w:r w:rsidDel="00000000" w:rsidR="00000000" w:rsidRPr="00000000">
        <w:rPr>
          <w:b w:val="1"/>
          <w:rtl w:val="0"/>
        </w:rPr>
        <w:t xml:space="preserve">SI DEVE SPECIFICARE </w:t>
      </w:r>
      <w:r w:rsidDel="00000000" w:rsidR="00000000" w:rsidRPr="00000000">
        <w:rPr>
          <w:rtl w:val="0"/>
        </w:rPr>
        <w:t xml:space="preserve">il nome del file SENZA l’estensione; questo serve per il processo creato per identificare ogni singolo 2Pack…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85200c"/>
          <w:rtl w:val="0"/>
        </w:rPr>
        <w:t xml:space="preserve">CAMPO “Reference”</w:t>
      </w:r>
      <w:r w:rsidDel="00000000" w:rsidR="00000000" w:rsidRPr="00000000">
        <w:rPr>
          <w:rtl w:val="0"/>
        </w:rPr>
        <w:t xml:space="preserve"> = qui settare il tipo “Yes-No”, per abilitare scelta d’installazione del 2Pack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Il processo in questione, controlla la referenzialità dei file: controlla che tutti i 2Pack scelti a maschera siano giusti come nomi file e che siano presenti nella cartella e POI DOPO lancia il packIn dei file….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Installazione plug-in via Task.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Creazione di una nuova maschera per il lancio dei task di installazione Plug-in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PROCESS TASK LIST 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656400" cy="309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64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 questa maschera viene attivato il task che si vuole lanciare e ad avvenuta esecuzione viene salvato nella “description” il risultato dell’esecuzione.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 far funzionare il processo di avvio task, occorre impostare la task corrispondente al plug-in che si vuole installare.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65640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64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Nel campo “OS Command” specificare il path completo dello script *.sh.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i w:val="1"/>
          <w:rtl w:val="0"/>
        </w:rPr>
        <w:t xml:space="preserve">È importante specificare ogni script *.sh per ogni plug-in</w:t>
      </w:r>
      <w:r w:rsidDel="00000000" w:rsidR="00000000" w:rsidRPr="00000000">
        <w:rPr>
          <w:rtl w:val="0"/>
        </w:rPr>
        <w:t xml:space="preserve">; come da esempio, il file /opt/repos/idempiere-download/taskInstall_Plug-In/Task_PaymentTerm.sh: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#!/usr/bin/expect -f</w:t>
      </w:r>
    </w:p>
    <w:p w:rsidR="00000000" w:rsidDel="00000000" w:rsidP="00000000" w:rsidRDefault="00000000" w:rsidRPr="00000000" w14:paraId="00000025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/usr/bin/expect &lt;&lt; EOF</w:t>
      </w:r>
    </w:p>
    <w:p w:rsidR="00000000" w:rsidDel="00000000" w:rsidP="00000000" w:rsidRDefault="00000000" w:rsidRPr="00000000" w14:paraId="00000026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spawn telnet localhost 12612</w:t>
      </w:r>
    </w:p>
    <w:p w:rsidR="00000000" w:rsidDel="00000000" w:rsidP="00000000" w:rsidRDefault="00000000" w:rsidRPr="00000000" w14:paraId="00000027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expect "$ "</w:t>
      </w:r>
    </w:p>
    <w:p w:rsidR="00000000" w:rsidDel="00000000" w:rsidP="00000000" w:rsidRDefault="00000000" w:rsidRPr="00000000" w14:paraId="00000028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send -- "install file:/opt/repos/idempiere-download/plugin-italia/payment-term/it.cnet.impl.payment_term.jar\n"</w:t>
      </w:r>
    </w:p>
    <w:p w:rsidR="00000000" w:rsidDel="00000000" w:rsidP="00000000" w:rsidRDefault="00000000" w:rsidRPr="00000000" w14:paraId="00000029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expect "$ "</w:t>
      </w:r>
    </w:p>
    <w:p w:rsidR="00000000" w:rsidDel="00000000" w:rsidP="00000000" w:rsidRDefault="00000000" w:rsidRPr="00000000" w14:paraId="0000002A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send -- "start it.cnet.impl.payment_term\n"</w:t>
      </w:r>
    </w:p>
    <w:p w:rsidR="00000000" w:rsidDel="00000000" w:rsidP="00000000" w:rsidRDefault="00000000" w:rsidRPr="00000000" w14:paraId="0000002B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expect "$ "</w:t>
      </w:r>
    </w:p>
    <w:p w:rsidR="00000000" w:rsidDel="00000000" w:rsidP="00000000" w:rsidRDefault="00000000" w:rsidRPr="00000000" w14:paraId="0000002C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send -- "disconnect\n"</w:t>
      </w:r>
    </w:p>
    <w:p w:rsidR="00000000" w:rsidDel="00000000" w:rsidP="00000000" w:rsidRDefault="00000000" w:rsidRPr="00000000" w14:paraId="0000002D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expect "$ y\n"</w:t>
      </w:r>
    </w:p>
    <w:p w:rsidR="00000000" w:rsidDel="00000000" w:rsidP="00000000" w:rsidRDefault="00000000" w:rsidRPr="00000000" w14:paraId="0000002E">
      <w:pPr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EOF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Ricordarsi che il nome del jar, deve essere privo del numero versionamento+data……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NOTA: Come lanciare gli Script sql via TASK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Rinominare lo script .sql in .sh (ad esempio </w:t>
      </w:r>
      <w:r w:rsidDel="00000000" w:rsidR="00000000" w:rsidRPr="00000000">
        <w:rPr>
          <w:i w:val="1"/>
          <w:rtl w:val="0"/>
        </w:rPr>
        <w:t xml:space="preserve">tasksystem-ad_org_default.sh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all’interno del file .sh dobbiamo inserire i seguenti comandi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color w:val="000000"/>
          <w:highlight w:val="yellow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psql -d idempiere -U adempiere &lt;&lt; EOF</w:t>
      </w:r>
    </w:p>
    <w:p w:rsidR="00000000" w:rsidDel="00000000" w:rsidP="00000000" w:rsidRDefault="00000000" w:rsidRPr="00000000" w14:paraId="00000038">
      <w:pPr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…………….codice sql…………….</w:t>
      </w:r>
    </w:p>
    <w:p w:rsidR="00000000" w:rsidDel="00000000" w:rsidP="00000000" w:rsidRDefault="00000000" w:rsidRPr="00000000" w14:paraId="0000003A">
      <w:pPr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  <w:color w:val="000000"/>
          <w:highlight w:val="yellow"/>
        </w:rPr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EOF</w:t>
      </w:r>
    </w:p>
    <w:sectPr>
      <w:footerReference r:id="rId9" w:type="default"/>
      <w:pgSz w:h="16838" w:w="11906"/>
      <w:pgMar w:bottom="850.3937007874016" w:top="850.3937007874016" w:left="702.992125984252" w:right="720.0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72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