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r6908ahmds9" w:id="0"/>
      <w:bookmarkEnd w:id="0"/>
      <w:r w:rsidDel="00000000" w:rsidR="00000000" w:rsidRPr="00000000">
        <w:rPr>
          <w:rtl w:val="0"/>
        </w:rPr>
        <w:t xml:space="preserve">Provvigioni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vi55abwq77v">
            <w:r w:rsidDel="00000000" w:rsidR="00000000" w:rsidRPr="00000000">
              <w:rPr>
                <w:b w:val="1"/>
                <w:rtl w:val="0"/>
              </w:rPr>
              <w:t xml:space="preserve">Processo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_fvi55abwq77v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r1j33x7w2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Configurazioni di base in iDempiere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_ymr1j33x7w2o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trd350s8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Prodotto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_setrd350s8bp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2f64h9db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Agenti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_k22f64h9dbjz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thrndnz6yp9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n6dfcjtl8z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qf261yhtin3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fvi55abwq77v" w:id="4"/>
      <w:bookmarkEnd w:id="4"/>
      <w:r w:rsidDel="00000000" w:rsidR="00000000" w:rsidRPr="00000000">
        <w:rPr>
          <w:rtl w:val="0"/>
        </w:rPr>
        <w:t xml:space="preserve">Processo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Generalmente un’azienda può avvalersi di figura commerciali al fine di proporre il proprio prodotto e quindi renderlo più facilmente vendibile. Dette figure sono gli Agenti o Rappresentanti e Procacciatori d’affari.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mr1j33x7w2o" w:id="5"/>
      <w:bookmarkEnd w:id="5"/>
      <w:r w:rsidDel="00000000" w:rsidR="00000000" w:rsidRPr="00000000">
        <w:rPr>
          <w:rtl w:val="0"/>
        </w:rPr>
        <w:t xml:space="preserve">Configurazioni di base in iDempiere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setrd350s8bp" w:id="6"/>
      <w:bookmarkEnd w:id="6"/>
      <w:r w:rsidDel="00000000" w:rsidR="00000000" w:rsidRPr="00000000">
        <w:rPr>
          <w:rtl w:val="0"/>
        </w:rPr>
        <w:t xml:space="preserve">Prodotto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k22f64h9dbjz" w:id="7"/>
      <w:bookmarkEnd w:id="7"/>
      <w:r w:rsidDel="00000000" w:rsidR="00000000" w:rsidRPr="00000000">
        <w:rPr>
          <w:rtl w:val="0"/>
        </w:rPr>
        <w:t xml:space="preserve">Agenti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Il Primo passo da effettuare a livello anagrafica agente è quello di inserire un Business Partners che sia chiaramente fornitore ma che sia nello specifico un rappresentante.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Sarà pure da codificare correttamente l’agente per quelle che sono le ritenute d’acconto (fiscali per anticipazione di imposte da parte della ditta che funge da sostituto d’imposta) e controllare le ritenute enasarco (previdenziali che pure sono versate per conto dell’agente).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Nella fiscalità italiana le aliquote per l’anno 2020 sono le seguenti: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ritenute d’acconto: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persone singole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aliquota 23%                                      su imponibile 50% fattura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società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aliquota 23%                                      su imponibile 20% fattura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per venditori a domicilio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aliquota 23%                                      su imponibile 78% fattura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638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