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Codice CUC </w:t>
      </w:r>
      <w:r w:rsidDel="00000000" w:rsidR="00000000" w:rsidRPr="00000000">
        <w:rPr>
          <w:b w:val="1"/>
          <w:rtl w:val="0"/>
        </w:rPr>
        <w:t xml:space="preserve">(?)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Campo_tracciato__2.5 ReqdExctnDt “Data richiesta dal mittente”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Data richiesta dal Mittente al Debtor agent per l'esecuzione della disposizione.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Coincide con la data alla quale il conto del debitore deve essere addebitato, ovvero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con la data di emissione degli assegni.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È uguale alla data di creazione nella testata 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Campo_tracciato__2.12.2.3.1 Code “Codice” (..causale bancaria...)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La lista dei codici è disponibile all'indirizzo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http://www.iso20022.org/external_code_list.page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si fa presente che alcune causali (es. “SALA”) potrebbero non essere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compatibili a livello interbancario con la richiesta di regolamento urgente “URGP”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(?)(?)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Campo_tracciato__2.12.7.1.1 BIC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Codice assegnato agli Istituti finanziari dalla Registration Authority secondo lo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standard ISO 9362  </w:t>
      </w:r>
      <w:r w:rsidDel="00000000" w:rsidR="00000000" w:rsidRPr="00000000">
        <w:rPr>
          <w:b w:val="1"/>
          <w:rtl w:val="0"/>
        </w:rPr>
        <w:t xml:space="preserve">(?)(?)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Campo_tracciato__2.12.11.1 Name [CBIPartyIdentification5] </w:t>
      </w:r>
      <w:r w:rsidDel="00000000" w:rsidR="00000000" w:rsidRPr="00000000">
        <w:rPr>
          <w:b w:val="1"/>
          <w:rtl w:val="0"/>
        </w:rPr>
        <w:t xml:space="preserve">(?)(?)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Campo_tracciato__2.12.11.2.1.1.1 Identification “Identificativo”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Nome o numero assegnato da un'entità per il riconoscimento di quell'entità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Deve contenere il CUC </w:t>
      </w:r>
      <w:r w:rsidDel="00000000" w:rsidR="00000000" w:rsidRPr="00000000">
        <w:rPr>
          <w:b w:val="1"/>
          <w:rtl w:val="0"/>
        </w:rPr>
        <w:t xml:space="preserve">(?)(?)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Campo_tracciato__2.12.15 Remittance Information “Informazioni di riconciliazione”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+ sotto campi </w:t>
      </w:r>
      <w:r w:rsidDel="00000000" w:rsidR="00000000" w:rsidRPr="00000000">
        <w:rPr>
          <w:b w:val="1"/>
          <w:rtl w:val="0"/>
        </w:rPr>
        <w:t xml:space="preserve">(?)(?)(?)(?)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dddd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