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4"/>
          <w:szCs w:val="34"/>
        </w:rPr>
        <w:t xml:space="preserve">Supplier Reliability and the Denver Opening</w:t>
      </w:r>
    </w:p>
    <w:p>
      <w:pPr>
        <w:spacing w:after="40"/>
        <w:jc w:val="center"/>
      </w:pPr>
      <w:r>
        <w:rPr>
          <w:color w:val="444444"/>
          <w:sz w:val="24"/>
          <w:szCs w:val="24"/>
        </w:rPr>
        <w:t xml:space="preserve">A Multi-Source Document Intelligence Brief</w:t>
      </w:r>
    </w:p>
    <w:p>
      <w:pPr>
        <w:pBdr>
          <w:bottom w:val="single" w:color="1F3A5F" w:sz="8" w:space="6"/>
        </w:pBdr>
        <w:spacing w:after="40"/>
        <w:jc w:val="center"/>
      </w:pPr>
      <w:r>
        <w:rPr>
          <w:color w:val="444444"/>
          <w:sz w:val="22"/>
          <w:szCs w:val="22"/>
        </w:rPr>
        <w:t xml:space="preserve">Company: GreenThreads (sustainable apparel)      |      Function: Operations</w:t>
      </w:r>
    </w:p>
    <w:p>
      <w:pPr>
        <w:spacing w:after="20" w:before="120"/>
        <w:jc w:val="center"/>
      </w:pPr>
      <w:r>
        <w:rPr>
          <w:sz w:val="22"/>
          <w:szCs w:val="22"/>
        </w:rPr>
        <w:t xml:space="preserve">Isra Denaguir  •  Ivette Bruce  •  Chris Sudyka  •  Lucas Diverdi</w:t>
      </w:r>
    </w:p>
    <w:p>
      <w:pPr>
        <w:spacing w:after="220"/>
        <w:jc w:val="center"/>
      </w:pPr>
      <w:r>
        <w:rPr>
          <w:color w:val="555555"/>
          <w:sz w:val="20"/>
          <w:szCs w:val="20"/>
        </w:rPr>
        <w:t xml:space="preserve">AI.205: AI Integration in Business I  |  Prof. Jeff Eyet  |  Homework #2</w:t>
      </w:r>
    </w:p>
    <w:p>
      <w:pPr>
        <w:pStyle w:val="Heading1"/>
        <w:spacing w:after="120" w:before="260"/>
      </w:pPr>
      <w:r>
        <w:rPr>
          <w:b/>
          <w:bCs/>
          <w:color w:val="1F3A5F"/>
          <w:sz w:val="28"/>
          <w:szCs w:val="28"/>
        </w:rPr>
        <w:t xml:space="preserve">Sources</w:t>
      </w:r>
    </w:p>
    <w:p>
      <w:pPr>
        <w:spacing w:after="110" w:line="264"/>
        <w:ind w:left="360" w:hanging="360"/>
      </w:pPr>
      <w:r>
        <w:rPr>
          <w:sz w:val="20"/>
          <w:szCs w:val="20"/>
        </w:rPr>
        <w:t xml:space="preserve">S1. Song Hong Apparel Co., Ltd. (2026, July 24). Purchase Order Confirmation SH-2291, Bamboo Joggers (Denver Opening). Correspondence from Linh Tran, Export Sales, to GreenThreads Procurement.</w:t>
      </w:r>
    </w:p>
    <w:p>
      <w:pPr>
        <w:spacing w:after="110" w:line="264"/>
        <w:ind w:left="360" w:hanging="360"/>
      </w:pPr>
      <w:r>
        <w:rPr>
          <w:sz w:val="20"/>
          <w:szCs w:val="20"/>
        </w:rPr>
        <w:t xml:space="preserve">S2. GreenThreads Operations. Standard Operating Procedure OPS-04, Inbound Shipment Receiving &amp; Inspection, Version 2.1. Owner: Operations Manager.</w:t>
      </w:r>
    </w:p>
    <w:p>
      <w:pPr>
        <w:spacing w:after="110" w:line="264"/>
        <w:ind w:left="360" w:hanging="360"/>
      </w:pPr>
      <w:r>
        <w:rPr>
          <w:sz w:val="20"/>
          <w:szCs w:val="20"/>
        </w:rPr>
        <w:t xml:space="preserve">S3. Song Hong Apparel Co., Ltd. and GreenThreads, Inc. (2025). Master Supply Agreement, selected terms, §§4–9.</w:t>
      </w:r>
    </w:p>
    <w:p>
      <w:pPr>
        <w:spacing w:after="110" w:line="264"/>
        <w:ind w:left="360" w:hanging="360"/>
      </w:pPr>
      <w:r>
        <w:rPr>
          <w:sz w:val="20"/>
          <w:szCs w:val="20"/>
        </w:rPr>
        <w:t xml:space="preserve">S4. GreenThreads Operations. GT_Ops_Inbound_Shipments, inbound purchase order record, 96 orders across four suppliers.</w:t>
      </w:r>
    </w:p>
    <w:p>
      <w:pPr>
        <w:pStyle w:val="Heading1"/>
        <w:spacing w:after="120" w:before="260"/>
      </w:pPr>
      <w:r>
        <w:rPr>
          <w:b/>
          <w:bCs/>
          <w:color w:val="1F3A5F"/>
          <w:sz w:val="28"/>
          <w:szCs w:val="28"/>
        </w:rPr>
        <w:t xml:space="preserve">1. Purpose and the Decision This Feeds</w:t>
      </w:r>
    </w:p>
    <w:p>
      <w:pPr>
        <w:spacing w:after="140" w:line="276"/>
        <w:jc w:val="both"/>
      </w:pPr>
      <w:r>
        <w:rPr>
          <w:sz w:val="22"/>
          <w:szCs w:val="22"/>
        </w:rPr>
        <w:t xml:space="preserve">Our Functional Brief ranked predicting high-risk shipments and scoring supplier reliability as the two highest-value AI opportunities for GreenThreads Operations, because the function goal for this quarter is straightforward: get the launch products onto the Denver sales floor on time. This brief takes that opportunity out of the abstract and applies it to the first real Denver purchase order, SH-2291, using the three documents that govern it and the shipment record that shows how the supplier has actually behaved.</w:t>
      </w:r>
    </w:p>
    <w:p>
      <w:pPr>
        <w:spacing w:after="140" w:line="276"/>
        <w:jc w:val="both"/>
      </w:pPr>
      <w:r>
        <w:rPr>
          <w:sz w:val="22"/>
          <w:szCs w:val="22"/>
        </w:rPr>
        <w:t xml:space="preserve">The decision on the table is narrow and time-sensitive. Operations has to determine whether SH-2291 as confirmed is safe to leave alone, or whether it needs to be escalated while the only contractual remedy is still available. Everything below is built to answer that.</w:t>
      </w:r>
    </w:p>
    <w:p>
      <w:pPr>
        <w:pStyle w:val="Heading1"/>
        <w:spacing w:after="120" w:before="260"/>
      </w:pPr>
      <w:r>
        <w:rPr>
          <w:b/>
          <w:bCs/>
          <w:color w:val="1F3A5F"/>
          <w:sz w:val="28"/>
          <w:szCs w:val="28"/>
        </w:rPr>
        <w:t xml:space="preserve">2. Source Analysis and Classification</w:t>
      </w:r>
    </w:p>
    <w:p>
      <w:pPr>
        <w:spacing w:after="140" w:line="276"/>
        <w:jc w:val="both"/>
      </w:pPr>
      <w:r>
        <w:rPr>
          <w:sz w:val="22"/>
          <w:szCs w:val="22"/>
        </w:rPr>
        <w:t xml:space="preserve">Classifying the sources before reading them closely turned out to matter more than expected, because the three documents differ far less in subject than in authority. Two of them describe the same shipment and reach opposite conclusions about how much the promised date is worth.</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000"/>
        <w:gridCol w:w="1900"/>
        <w:gridCol w:w="1900"/>
        <w:gridCol w:w="3560"/>
      </w:tblGrid>
      <w:tr>
        <w:trPr>
          <w:tblHeader/>
        </w:trPr>
        <w:tc>
          <w:tcPr>
            <w:tcW w:type="dxa" w:w="2000"/>
            <w:shd w:fill="1F3A5F" w:color="auto" w:val="clear"/>
            <w:tcMar>
              <w:top w:type="dxa" w:w="60"/>
              <w:left w:type="dxa" w:w="110"/>
              <w:bottom w:type="dxa" w:w="60"/>
              <w:right w:type="dxa" w:w="110"/>
            </w:tcMar>
          </w:tcPr>
          <w:p>
            <w:pPr>
              <w:spacing w:after="0" w:line="252"/>
              <w:jc w:val="left"/>
            </w:pPr>
            <w:r>
              <w:rPr>
                <w:b/>
                <w:bCs/>
                <w:color w:val="FFFFFF"/>
                <w:sz w:val="20"/>
                <w:szCs w:val="20"/>
              </w:rPr>
              <w:t xml:space="preserve">Source</w:t>
            </w:r>
          </w:p>
        </w:tc>
        <w:tc>
          <w:tcPr>
            <w:tcW w:type="dxa" w:w="1900"/>
            <w:shd w:fill="1F3A5F" w:color="auto" w:val="clear"/>
            <w:tcMar>
              <w:top w:type="dxa" w:w="60"/>
              <w:left w:type="dxa" w:w="110"/>
              <w:bottom w:type="dxa" w:w="60"/>
              <w:right w:type="dxa" w:w="110"/>
            </w:tcMar>
          </w:tcPr>
          <w:p>
            <w:pPr>
              <w:spacing w:after="0" w:line="252"/>
              <w:jc w:val="left"/>
            </w:pPr>
            <w:r>
              <w:rPr>
                <w:b/>
                <w:bCs/>
                <w:color w:val="FFFFFF"/>
                <w:sz w:val="20"/>
                <w:szCs w:val="20"/>
              </w:rPr>
              <w:t xml:space="preserve">Document type</w:t>
            </w:r>
          </w:p>
        </w:tc>
        <w:tc>
          <w:tcPr>
            <w:tcW w:type="dxa" w:w="1900"/>
            <w:shd w:fill="1F3A5F" w:color="auto" w:val="clear"/>
            <w:tcMar>
              <w:top w:type="dxa" w:w="60"/>
              <w:left w:type="dxa" w:w="110"/>
              <w:bottom w:type="dxa" w:w="60"/>
              <w:right w:type="dxa" w:w="110"/>
            </w:tcMar>
          </w:tcPr>
          <w:p>
            <w:pPr>
              <w:spacing w:after="0" w:line="252"/>
              <w:jc w:val="left"/>
            </w:pPr>
            <w:r>
              <w:rPr>
                <w:b/>
                <w:bCs/>
                <w:color w:val="FFFFFF"/>
                <w:sz w:val="20"/>
                <w:szCs w:val="20"/>
              </w:rPr>
              <w:t xml:space="preserve">Authorship / interest</w:t>
            </w:r>
          </w:p>
        </w:tc>
        <w:tc>
          <w:tcPr>
            <w:tcW w:type="dxa" w:w="3560"/>
            <w:shd w:fill="1F3A5F" w:color="auto" w:val="clear"/>
            <w:tcMar>
              <w:top w:type="dxa" w:w="60"/>
              <w:left w:type="dxa" w:w="110"/>
              <w:bottom w:type="dxa" w:w="60"/>
              <w:right w:type="dxa" w:w="110"/>
            </w:tcMar>
          </w:tcPr>
          <w:p>
            <w:pPr>
              <w:spacing w:after="0" w:line="252"/>
              <w:jc w:val="left"/>
            </w:pPr>
            <w:r>
              <w:rPr>
                <w:b/>
                <w:bCs/>
                <w:color w:val="FFFFFF"/>
                <w:sz w:val="20"/>
                <w:szCs w:val="20"/>
              </w:rPr>
              <w:t xml:space="preserve">Binding force</w:t>
            </w:r>
          </w:p>
        </w:tc>
      </w:tr>
      <w:tr>
        <w:tc>
          <w:tcPr>
            <w:tcW w:type="dxa" w:w="20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S1 – PO Confirmation SH-2291</w:t>
            </w:r>
          </w:p>
        </w:tc>
        <w:tc>
          <w:tcPr>
            <w:tcW w:type="dxa" w:w="19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Transactional correspondence</w:t>
            </w:r>
          </w:p>
        </w:tc>
        <w:tc>
          <w:tcPr>
            <w:tcW w:type="dxa" w:w="19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Supplier-authored, seller interest</w:t>
            </w:r>
          </w:p>
        </w:tc>
        <w:tc>
          <w:tcPr>
            <w:tcW w:type="dxa" w:w="35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Non-binding assurance</w:t>
            </w:r>
          </w:p>
        </w:tc>
      </w:tr>
      <w:tr>
        <w:tc>
          <w:tcPr>
            <w:tcW w:type="dxa" w:w="2000"/>
            <w:tcMar>
              <w:top w:type="dxa" w:w="60"/>
              <w:left w:type="dxa" w:w="110"/>
              <w:bottom w:type="dxa" w:w="60"/>
              <w:right w:type="dxa" w:w="110"/>
            </w:tcMar>
          </w:tcPr>
          <w:p>
            <w:pPr>
              <w:spacing w:after="0" w:line="252"/>
              <w:jc w:val="left"/>
            </w:pPr>
            <w:r>
              <w:rPr>
                <w:b/>
                <w:bCs/>
                <w:color w:val="000000"/>
                <w:sz w:val="20"/>
                <w:szCs w:val="20"/>
              </w:rPr>
              <w:t xml:space="preserve">S2 – SOP OPS-04 v2.1</w:t>
            </w:r>
          </w:p>
        </w:tc>
        <w:tc>
          <w:tcPr>
            <w:tcW w:type="dxa" w:w="1900"/>
            <w:tcMar>
              <w:top w:type="dxa" w:w="60"/>
              <w:left w:type="dxa" w:w="110"/>
              <w:bottom w:type="dxa" w:w="60"/>
              <w:right w:type="dxa" w:w="110"/>
            </w:tcMar>
          </w:tcPr>
          <w:p>
            <w:pPr>
              <w:spacing w:after="0" w:line="252"/>
              <w:jc w:val="left"/>
            </w:pPr>
            <w:r>
              <w:rPr>
                <w:b w:val="false"/>
                <w:bCs w:val="false"/>
                <w:color w:val="000000"/>
                <w:sz w:val="20"/>
                <w:szCs w:val="20"/>
              </w:rPr>
              <w:t xml:space="preserve">Internal process control</w:t>
            </w:r>
          </w:p>
        </w:tc>
        <w:tc>
          <w:tcPr>
            <w:tcW w:type="dxa" w:w="1900"/>
            <w:tcMar>
              <w:top w:type="dxa" w:w="60"/>
              <w:left w:type="dxa" w:w="110"/>
              <w:bottom w:type="dxa" w:w="60"/>
              <w:right w:type="dxa" w:w="110"/>
            </w:tcMar>
          </w:tcPr>
          <w:p>
            <w:pPr>
              <w:spacing w:after="0" w:line="252"/>
              <w:jc w:val="left"/>
            </w:pPr>
            <w:r>
              <w:rPr>
                <w:b w:val="false"/>
                <w:bCs w:val="false"/>
                <w:color w:val="000000"/>
                <w:sz w:val="20"/>
                <w:szCs w:val="20"/>
              </w:rPr>
              <w:t xml:space="preserve">GreenThreads Operations</w:t>
            </w:r>
          </w:p>
        </w:tc>
        <w:tc>
          <w:tcPr>
            <w:tcW w:type="dxa" w:w="3560"/>
            <w:tcMar>
              <w:top w:type="dxa" w:w="60"/>
              <w:left w:type="dxa" w:w="110"/>
              <w:bottom w:type="dxa" w:w="60"/>
              <w:right w:type="dxa" w:w="110"/>
            </w:tcMar>
          </w:tcPr>
          <w:p>
            <w:pPr>
              <w:spacing w:after="0" w:line="252"/>
              <w:jc w:val="left"/>
            </w:pPr>
            <w:r>
              <w:rPr>
                <w:b w:val="false"/>
                <w:bCs w:val="false"/>
                <w:color w:val="000000"/>
                <w:sz w:val="20"/>
                <w:szCs w:val="20"/>
              </w:rPr>
              <w:t xml:space="preserve">Internally mandatory</w:t>
            </w:r>
          </w:p>
        </w:tc>
      </w:tr>
      <w:tr>
        <w:tc>
          <w:tcPr>
            <w:tcW w:type="dxa" w:w="20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S3 – Master Supply Agreement</w:t>
            </w:r>
          </w:p>
        </w:tc>
        <w:tc>
          <w:tcPr>
            <w:tcW w:type="dxa" w:w="19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Contract (excerpt)</w:t>
            </w:r>
          </w:p>
        </w:tc>
        <w:tc>
          <w:tcPr>
            <w:tcW w:type="dxa" w:w="19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Bilateral, drafted supplier-favorable</w:t>
            </w:r>
          </w:p>
        </w:tc>
        <w:tc>
          <w:tcPr>
            <w:tcW w:type="dxa" w:w="35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Legally binding</w:t>
            </w:r>
          </w:p>
        </w:tc>
      </w:tr>
      <w:tr>
        <w:tc>
          <w:tcPr>
            <w:tcW w:type="dxa" w:w="2000"/>
            <w:tcMar>
              <w:top w:type="dxa" w:w="60"/>
              <w:left w:type="dxa" w:w="110"/>
              <w:bottom w:type="dxa" w:w="60"/>
              <w:right w:type="dxa" w:w="110"/>
            </w:tcMar>
          </w:tcPr>
          <w:p>
            <w:pPr>
              <w:spacing w:after="0" w:line="252"/>
              <w:jc w:val="left"/>
            </w:pPr>
            <w:r>
              <w:rPr>
                <w:b/>
                <w:bCs/>
                <w:color w:val="000000"/>
                <w:sz w:val="20"/>
                <w:szCs w:val="20"/>
              </w:rPr>
              <w:t xml:space="preserve">S4 – Inbound shipments dataset</w:t>
            </w:r>
          </w:p>
        </w:tc>
        <w:tc>
          <w:tcPr>
            <w:tcW w:type="dxa" w:w="1900"/>
            <w:tcMar>
              <w:top w:type="dxa" w:w="60"/>
              <w:left w:type="dxa" w:w="110"/>
              <w:bottom w:type="dxa" w:w="60"/>
              <w:right w:type="dxa" w:w="110"/>
            </w:tcMar>
          </w:tcPr>
          <w:p>
            <w:pPr>
              <w:spacing w:after="0" w:line="252"/>
              <w:jc w:val="left"/>
            </w:pPr>
            <w:r>
              <w:rPr>
                <w:b w:val="false"/>
                <w:bCs w:val="false"/>
                <w:color w:val="000000"/>
                <w:sz w:val="20"/>
                <w:szCs w:val="20"/>
              </w:rPr>
              <w:t xml:space="preserve">Operational performance record</w:t>
            </w:r>
          </w:p>
        </w:tc>
        <w:tc>
          <w:tcPr>
            <w:tcW w:type="dxa" w:w="1900"/>
            <w:tcMar>
              <w:top w:type="dxa" w:w="60"/>
              <w:left w:type="dxa" w:w="110"/>
              <w:bottom w:type="dxa" w:w="60"/>
              <w:right w:type="dxa" w:w="110"/>
            </w:tcMar>
          </w:tcPr>
          <w:p>
            <w:pPr>
              <w:spacing w:after="0" w:line="252"/>
              <w:jc w:val="left"/>
            </w:pPr>
            <w:r>
              <w:rPr>
                <w:b w:val="false"/>
                <w:bCs w:val="false"/>
                <w:color w:val="000000"/>
                <w:sz w:val="20"/>
                <w:szCs w:val="20"/>
              </w:rPr>
              <w:t xml:space="preserve">GreenThreads Operations</w:t>
            </w:r>
          </w:p>
        </w:tc>
        <w:tc>
          <w:tcPr>
            <w:tcW w:type="dxa" w:w="3560"/>
            <w:tcMar>
              <w:top w:type="dxa" w:w="60"/>
              <w:left w:type="dxa" w:w="110"/>
              <w:bottom w:type="dxa" w:w="60"/>
              <w:right w:type="dxa" w:w="110"/>
            </w:tcMar>
          </w:tcPr>
          <w:p>
            <w:pPr>
              <w:spacing w:after="0" w:line="252"/>
              <w:jc w:val="left"/>
            </w:pPr>
            <w:r>
              <w:rPr>
                <w:b w:val="false"/>
                <w:bCs w:val="false"/>
                <w:color w:val="000000"/>
                <w:sz w:val="20"/>
                <w:szCs w:val="20"/>
              </w:rPr>
              <w:t xml:space="preserve">Evidentiary, not binding</w:t>
            </w:r>
          </w:p>
        </w:tc>
      </w:tr>
    </w:tbl>
    <w:p>
      <w:pPr>
        <w:spacing w:after="100"/>
      </w:pPr>
    </w:p>
    <w:p>
      <w:pPr>
        <w:spacing w:after="140" w:line="276"/>
        <w:jc w:val="both"/>
      </w:pPr>
      <w:r>
        <w:rPr>
          <w:sz w:val="22"/>
          <w:szCs w:val="22"/>
        </w:rPr>
        <w:t xml:space="preserve">The pattern the classification exposes is that the only document carrying real force over our own behavior is the one we wrote ourselves. The supplier's assurance is correspondence, and the contract that would normally convert an assurance into an obligation instead disclaims it. That places the entire weight of protecting the opening on OPS-04.</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3400"/>
        <w:gridCol w:w="4460"/>
      </w:tblGrid>
      <w:tr>
        <w:trPr>
          <w:tblHeader/>
        </w:trPr>
        <w:tc>
          <w:tcPr>
            <w:tcW w:type="dxa" w:w="1500"/>
            <w:shd w:fill="1F3A5F" w:color="auto" w:val="clear"/>
            <w:tcMar>
              <w:top w:type="dxa" w:w="60"/>
              <w:left w:type="dxa" w:w="110"/>
              <w:bottom w:type="dxa" w:w="60"/>
              <w:right w:type="dxa" w:w="110"/>
            </w:tcMar>
          </w:tcPr>
          <w:p>
            <w:pPr>
              <w:spacing w:after="0" w:line="252"/>
              <w:jc w:val="left"/>
            </w:pPr>
            <w:r>
              <w:rPr>
                <w:b/>
                <w:bCs/>
                <w:color w:val="FFFFFF"/>
                <w:sz w:val="20"/>
                <w:szCs w:val="20"/>
              </w:rPr>
              <w:t xml:space="preserve">Source</w:t>
            </w:r>
          </w:p>
        </w:tc>
        <w:tc>
          <w:tcPr>
            <w:tcW w:type="dxa" w:w="3400"/>
            <w:shd w:fill="1F3A5F" w:color="auto" w:val="clear"/>
            <w:tcMar>
              <w:top w:type="dxa" w:w="60"/>
              <w:left w:type="dxa" w:w="110"/>
              <w:bottom w:type="dxa" w:w="60"/>
              <w:right w:type="dxa" w:w="110"/>
            </w:tcMar>
          </w:tcPr>
          <w:p>
            <w:pPr>
              <w:spacing w:after="0" w:line="252"/>
              <w:jc w:val="left"/>
            </w:pPr>
            <w:r>
              <w:rPr>
                <w:b/>
                <w:bCs/>
                <w:color w:val="FFFFFF"/>
                <w:sz w:val="20"/>
                <w:szCs w:val="20"/>
              </w:rPr>
              <w:t xml:space="preserve">Key extracted facts</w:t>
            </w:r>
          </w:p>
        </w:tc>
        <w:tc>
          <w:tcPr>
            <w:tcW w:type="dxa" w:w="4460"/>
            <w:shd w:fill="1F3A5F" w:color="auto" w:val="clear"/>
            <w:tcMar>
              <w:top w:type="dxa" w:w="60"/>
              <w:left w:type="dxa" w:w="110"/>
              <w:bottom w:type="dxa" w:w="60"/>
              <w:right w:type="dxa" w:w="110"/>
            </w:tcMar>
          </w:tcPr>
          <w:p>
            <w:pPr>
              <w:spacing w:after="0" w:line="252"/>
              <w:jc w:val="left"/>
            </w:pPr>
            <w:r>
              <w:rPr>
                <w:b/>
                <w:bCs/>
                <w:color w:val="FFFFFF"/>
                <w:sz w:val="20"/>
                <w:szCs w:val="20"/>
              </w:rPr>
              <w:t xml:space="preserve">Supporting language</w:t>
            </w:r>
          </w:p>
        </w:tc>
      </w:tr>
      <w:tr>
        <w:tc>
          <w:tcPr>
            <w:tcW w:type="dxa" w:w="1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S1</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PO SH-2291, Bamboo Joggers (GT-JOG-03), 950 units at USD 30.00, USD 28,500 total. Ordered 24 Jul 2026, promised 3 Oct 2026, destination Denver. Quoted lead time is 71 days.</w:t>
            </w:r>
          </w:p>
        </w:tc>
        <w:tc>
          <w:tcPr>
            <w:tcW w:type="dxa" w:w="44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Supplier “does not anticipate any issues meeting the October 3 date”; facility “operating at peak seasonal capacity through late September”; transit “18–22 days from the date the container is loaded.”</w:t>
            </w:r>
          </w:p>
        </w:tc>
      </w:tr>
      <w:tr>
        <w:tc>
          <w:tcPr>
            <w:tcW w:type="dxa" w:w="1500"/>
            <w:tcMar>
              <w:top w:type="dxa" w:w="60"/>
              <w:left w:type="dxa" w:w="110"/>
              <w:bottom w:type="dxa" w:w="60"/>
              <w:right w:type="dxa" w:w="110"/>
            </w:tcMar>
          </w:tcPr>
          <w:p>
            <w:pPr>
              <w:spacing w:after="0" w:line="252"/>
              <w:jc w:val="left"/>
            </w:pPr>
            <w:r>
              <w:rPr>
                <w:b/>
                <w:bCs/>
                <w:color w:val="000000"/>
                <w:sz w:val="20"/>
                <w:szCs w:val="20"/>
              </w:rPr>
              <w:t xml:space="preserve">S2</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Five-step receiving process. Order-by planning works backward from the in-store date; late suppliers require a buffer; receipt inspected within 24 hours; variances logged same day; goods released only after logging.</w:t>
            </w:r>
          </w:p>
        </w:tc>
        <w:tc>
          <w:tcPr>
            <w:tcW w:type="dxa" w:w="4460"/>
            <w:tcMar>
              <w:top w:type="dxa" w:w="60"/>
              <w:left w:type="dxa" w:w="110"/>
              <w:bottom w:type="dxa" w:w="60"/>
              <w:right w:type="dxa" w:w="110"/>
            </w:tcMar>
          </w:tcPr>
          <w:p>
            <w:pPr>
              <w:spacing w:after="0" w:line="252"/>
              <w:jc w:val="left"/>
            </w:pPr>
            <w:r>
              <w:rPr>
                <w:b w:val="false"/>
                <w:bCs w:val="false"/>
                <w:color w:val="000000"/>
                <w:sz w:val="20"/>
                <w:szCs w:val="20"/>
              </w:rPr>
              <w:t xml:space="preserve">“confirm the required in-store date and work backward”; “minimum two-week buffer into the order-by date”; a promised date is “a planning input, not a guarantee”; “flag it before the order is placed.”</w:t>
            </w:r>
          </w:p>
        </w:tc>
      </w:tr>
      <w:tr>
        <w:tc>
          <w:tcPr>
            <w:tcW w:type="dxa" w:w="1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S3</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§4 dates are estimates. §5 delay causes excused, notice open-ended. §6 no penalty, remedy is cancellation before dispatch. §7 dispatch gated on inspection. §9 quantity tolerance ±2%.</w:t>
            </w:r>
          </w:p>
        </w:tc>
        <w:tc>
          <w:tcPr>
            <w:tcW w:type="dxa" w:w="44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“good-faith estimates and are not guarantees”; “no liquidated damages, price reduction, or penalty for late delivery”; remedy “limited to cancellation … prior to dispatch”; notice “as soon as practicable.”</w:t>
            </w:r>
          </w:p>
        </w:tc>
      </w:tr>
      <w:tr>
        <w:tc>
          <w:tcPr>
            <w:tcW w:type="dxa" w:w="1500"/>
            <w:tcMar>
              <w:top w:type="dxa" w:w="60"/>
              <w:left w:type="dxa" w:w="110"/>
              <w:bottom w:type="dxa" w:w="60"/>
              <w:right w:type="dxa" w:w="110"/>
            </w:tcMar>
          </w:tcPr>
          <w:p>
            <w:pPr>
              <w:spacing w:after="0" w:line="252"/>
              <w:jc w:val="left"/>
            </w:pPr>
            <w:r>
              <w:rPr>
                <w:b/>
                <w:bCs/>
                <w:color w:val="000000"/>
                <w:sz w:val="20"/>
                <w:szCs w:val="20"/>
              </w:rPr>
              <w:t xml:space="preserve">S4</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96 purchase orders across four suppliers. Song Hong: 0% on-time, average 12.1 days late, worst case 19. Mekong: 0% on-time. India and Colombia suppliers average under one day late. No delivery in the file ever arrived early.</w:t>
            </w:r>
          </w:p>
        </w:tc>
        <w:tc>
          <w:tcPr>
            <w:tcW w:type="dxa" w:w="4460"/>
            <w:tcMar>
              <w:top w:type="dxa" w:w="60"/>
              <w:left w:type="dxa" w:w="110"/>
              <w:bottom w:type="dxa" w:w="60"/>
              <w:right w:type="dxa" w:w="110"/>
            </w:tcMar>
          </w:tcPr>
          <w:p>
            <w:pPr>
              <w:spacing w:after="0" w:line="252"/>
              <w:jc w:val="left"/>
            </w:pPr>
            <w:r>
              <w:rPr>
                <w:b w:val="false"/>
                <w:bCs w:val="false"/>
                <w:color w:val="000000"/>
                <w:sz w:val="20"/>
                <w:szCs w:val="20"/>
              </w:rPr>
              <w:t xml:space="preserve">Derived from the Status, Promised_Date, Actual_Receipt_Date and Days_Late fields of the inbound shipment record.</w:t>
            </w:r>
          </w:p>
        </w:tc>
      </w:tr>
    </w:tbl>
    <w:p>
      <w:pPr>
        <w:pStyle w:val="Heading1"/>
        <w:spacing w:after="120" w:before="260"/>
      </w:pPr>
      <w:r>
        <w:rPr>
          <w:b/>
          <w:bCs/>
          <w:color w:val="1F3A5F"/>
          <w:sz w:val="28"/>
          <w:szCs w:val="28"/>
        </w:rPr>
        <w:t xml:space="preserve">3. Cross-Source Synthesis</w:t>
      </w:r>
    </w:p>
    <w:p>
      <w:pPr>
        <w:pStyle w:val="Heading2"/>
        <w:spacing w:after="80" w:before="190"/>
      </w:pPr>
      <w:r>
        <w:rPr>
          <w:b/>
          <w:bCs/>
          <w:color w:val="1F3A5F"/>
          <w:sz w:val="24"/>
          <w:szCs w:val="24"/>
        </w:rPr>
        <w:t xml:space="preserve">Themes</w:t>
      </w:r>
    </w:p>
    <w:p>
      <w:pPr>
        <w:spacing w:after="140" w:line="276"/>
        <w:jc w:val="both"/>
      </w:pPr>
      <w:r>
        <w:rPr>
          <w:sz w:val="22"/>
          <w:szCs w:val="22"/>
        </w:rPr>
        <w:t xml:space="preserve">Across all four sources, a promised delivery date is treated as an estimate rather than a commitment, and both sides of the relationship have written that down. Our SOP states that a promised date is “a planning input, not a guarantee,” and the master agreement says the same thing from the supplier's side, describing confirmed dates as “good-faith estimates and are not guarantees.” The shipment record confirms the pattern empirically, since no order in 96 has ever arrived early and 71 percent arrived late.</w:t>
      </w:r>
    </w:p>
    <w:p>
      <w:pPr>
        <w:spacing w:after="140" w:line="276"/>
        <w:jc w:val="both"/>
      </w:pPr>
      <w:r>
        <w:rPr>
          <w:sz w:val="22"/>
          <w:szCs w:val="22"/>
        </w:rPr>
        <w:t xml:space="preserve">A second theme follows from the first. Delay risk sits almost entirely with the buyer. Section 5 excuses the supplier for delays caused by production capacity, quality inspection, port congestion, freight scheduling, and customs, which between them cover nearly every realistic cause of a late apparel shipment. Section 6 removes any financial consequence. The practical result is that GreenThreads absorbs the cost of a missed opening while the supplier absorbs none of it.</w:t>
      </w:r>
    </w:p>
    <w:p>
      <w:pPr>
        <w:spacing w:after="140" w:line="276"/>
        <w:jc w:val="both"/>
      </w:pPr>
      <w:r>
        <w:rPr>
          <w:sz w:val="22"/>
          <w:szCs w:val="22"/>
        </w:rPr>
        <w:t xml:space="preserve">The third theme is that inspection appears in every document while doing something different in each. In the confirmation it is a condition on dispatch, in the SOP it is a control performed on arrival, and in the contract it is both a gate the supplier controls and an excused cause of delay. The same word is doing three jobs, which is exactly the kind of ambiguity that lets a shipment slip without anyone being accountable for it.</w:t>
      </w:r>
    </w:p>
    <w:p>
      <w:pPr>
        <w:pStyle w:val="Heading2"/>
        <w:spacing w:after="80" w:before="190"/>
      </w:pPr>
      <w:r>
        <w:rPr>
          <w:b/>
          <w:bCs/>
          <w:color w:val="1F3A5F"/>
          <w:sz w:val="24"/>
          <w:szCs w:val="24"/>
        </w:rPr>
        <w:t xml:space="preserve">Contradictions</w:t>
      </w:r>
    </w:p>
    <w:p>
      <w:pPr>
        <w:spacing w:after="140" w:line="276"/>
        <w:jc w:val="both"/>
      </w:pPr>
      <w:r>
        <w:rPr>
          <w:sz w:val="22"/>
          <w:szCs w:val="22"/>
        </w:rPr>
        <w:t xml:space="preserve">The sharpest contradiction is between the confirmation and the contract that governs it. Song Hong writes that it “does not anticipate any issues meeting the October 3 date,” while the agreement between the same two parties holds that such dates “are good-faith estimates and are not guarantees” and that no penalty attaches to missing them. The reassurance sits in an email from a sales manager, and the enforceable terms sit in a contract that disclaims it. Naming the conflict is more useful than resolving it, because it tells Operations precisely how much the assurance is worth.</w:t>
      </w:r>
    </w:p>
    <w:p>
      <w:pPr>
        <w:spacing w:after="140" w:line="276"/>
        <w:jc w:val="both"/>
      </w:pPr>
      <w:r>
        <w:rPr>
          <w:sz w:val="22"/>
          <w:szCs w:val="22"/>
        </w:rPr>
        <w:t xml:space="preserve">The confirmation also contradicts itself within a few lines. It promises comfortable delivery on 3 October while disclosing that the facility is “operating at peak seasonal capacity through late September” and that ocean transit runs “18–22 days from the date the container is loaded.” Working backward from 3 October, the container has to load somewhere around 11 to 15 September, which falls inside the capacity constraint the letter itself discloses.</w:t>
      </w:r>
    </w:p>
    <w:p>
      <w:pPr>
        <w:spacing w:after="140" w:line="276"/>
        <w:jc w:val="both"/>
      </w:pPr>
      <w:r>
        <w:rPr>
          <w:sz w:val="22"/>
          <w:szCs w:val="22"/>
        </w:rPr>
        <w:t xml:space="preserve">A third conflict runs between the contract's own sections. Section 6 limits our remedy to “cancellation of the affected purchase order prior to dispatch,” while section 7 holds that dispatch waits on pre-shipment inspection at the supplier's facility. Inspection is where a delay of this type typically first becomes visible, so the window in which we can act closes at almost the same moment the problem becomes knowable.</w:t>
      </w:r>
    </w:p>
    <w:p>
      <w:pPr>
        <w:spacing w:after="140" w:line="276"/>
        <w:jc w:val="both"/>
      </w:pPr>
      <w:r>
        <w:rPr>
          <w:sz w:val="22"/>
          <w:szCs w:val="22"/>
        </w:rPr>
        <w:t xml:space="preserve">The last contradiction is internal to our own process. OPS-04 requires a minimum two-week buffer for any supplier with a documented late-delivery history, and the shipment record documents that history for Song Hong beyond any doubt. SH-2291 was nonetheless confirmed at a 71-day lead time with no buffer evident against any stated in-store date, which means our own rule was not applied to the single order it was written for.</w:t>
      </w:r>
    </w:p>
    <w:p>
      <w:pPr>
        <w:pStyle w:val="Heading2"/>
        <w:spacing w:after="80" w:before="190"/>
      </w:pPr>
      <w:r>
        <w:rPr>
          <w:b/>
          <w:bCs/>
          <w:color w:val="1F3A5F"/>
          <w:sz w:val="24"/>
          <w:szCs w:val="24"/>
        </w:rPr>
        <w:t xml:space="preserve">Gaps</w:t>
      </w:r>
    </w:p>
    <w:p>
      <w:pPr>
        <w:spacing w:after="140" w:line="276"/>
        <w:jc w:val="both"/>
      </w:pPr>
      <w:r>
        <w:rPr>
          <w:sz w:val="22"/>
          <w:szCs w:val="22"/>
        </w:rPr>
        <w:t xml:space="preserve">The most consequential gap is that none of the three documents states the date Denver needs the goods in store. That is the input step one of OPS-04 begins with, instructing the team to “confirm the required in-store date and work backward,” so without it the SOP cannot be executed and compliance cannot be tested. We would source it from the Denver launch plan and the case brief held by leadership.</w:t>
      </w:r>
    </w:p>
    <w:p>
      <w:pPr>
        <w:spacing w:after="140" w:line="276"/>
        <w:jc w:val="both"/>
      </w:pPr>
      <w:r>
        <w:rPr>
          <w:sz w:val="22"/>
          <w:szCs w:val="22"/>
        </w:rPr>
        <w:t xml:space="preserve">The second gap is that SH-2291 contains no intermediate milestone. There is a final promised date and nothing before it, with tracking deferred until “once the vessel is confirmed.” A shipment with no ex-factory or container-load date cannot be monitored, only discovered late. We would request the planned ex-factory and booking dates from Song Hong's export sales contact at confirmation rather than at dispatch.</w:t>
      </w:r>
    </w:p>
    <w:p>
      <w:pPr>
        <w:spacing w:after="140" w:line="276"/>
        <w:jc w:val="both"/>
      </w:pPr>
      <w:r>
        <w:rPr>
          <w:sz w:val="22"/>
          <w:szCs w:val="22"/>
        </w:rPr>
        <w:t xml:space="preserve">Third, OPS-04 never defines what counts as a documented history of late delivery, so nothing tells a planner when the buffer rule fires, and it gives no instruction for the case where the required buffer will not fit inside the available timeline. That definition is a local rule Operations has to write, and the shipment record is the evidence base for setting the threshold.</w:t>
      </w:r>
    </w:p>
    <w:p>
      <w:pPr>
        <w:spacing w:after="140" w:line="276"/>
        <w:jc w:val="both"/>
      </w:pPr>
      <w:r>
        <w:rPr>
          <w:sz w:val="22"/>
          <w:szCs w:val="22"/>
        </w:rPr>
        <w:t xml:space="preserve">Finally, the master agreement contains no performance standard and no notice deadline. Section 5 requires only that the supplier notify us of a known delay “as soon as practicable,” with no date attached, and no on-time delivery target or scorecard appears anywhere in the excerpt. Closing that gap is a contract renegotiation, not an Operations decision.</w:t>
      </w:r>
    </w:p>
    <w:p>
      <w:pPr>
        <w:pStyle w:val="Heading2"/>
        <w:spacing w:after="80" w:before="190"/>
      </w:pPr>
      <w:r>
        <w:rPr>
          <w:b/>
          <w:bCs/>
          <w:color w:val="1F3A5F"/>
          <w:sz w:val="24"/>
          <w:szCs w:val="24"/>
        </w:rPr>
        <w:t xml:space="preserve">External Context and Sanity Check</w:t>
      </w:r>
    </w:p>
    <w:p>
      <w:pPr>
        <w:spacing w:after="120" w:line="264"/>
        <w:jc w:val="both"/>
      </w:pPr>
      <w:r>
        <w:rPr>
          <w:color w:val="444444"/>
          <w:sz w:val="20"/>
          <w:szCs w:val="20"/>
        </w:rPr>
        <w:t xml:space="preserve">To confirm that the absence of a delivery standard in S3 is unusual rather than normal, we checked our reading against publicly filed commercial supply agreements on the SEC EDGAR database. A 2005 supply and purchase agreement filed there sets an explicit on-time delivery metric of at least 95 percent against an agreed lead time and establishes a formal supplier scorecard and periodic business review process (https://www.sec.gov/Archives/edgar/data/1381272/000119312506261688/dex1025.htm). We verified the filing loads and contains the delivery clause described rather than relying on a summary of it. The comparison is directional rather than exact, since the filing is not an apparel contract, but it supports the conclusion that measurable delivery terms are a normal feature of a supply agreement and that their absence from S3 is a real gap rather than an industry convention.</w:t>
      </w:r>
    </w:p>
    <w:p>
      <w:pPr>
        <w:pStyle w:val="Heading1"/>
        <w:spacing w:after="120" w:before="260"/>
      </w:pPr>
      <w:r>
        <w:rPr>
          <w:b/>
          <w:bCs/>
          <w:color w:val="1F3A5F"/>
          <w:sz w:val="28"/>
          <w:szCs w:val="28"/>
        </w:rPr>
        <w:t xml:space="preserve">4. Actionable Insights</w:t>
      </w:r>
    </w:p>
    <w:p>
      <w:pPr>
        <w:spacing w:after="140" w:line="276"/>
        <w:jc w:val="both"/>
      </w:pPr>
      <w:r>
        <w:rPr>
          <w:sz w:val="22"/>
          <w:szCs w:val="22"/>
        </w:rPr>
        <w:t xml:space="preserve">Each of the following is written so an Operations manager could act on it this week, and each traces back to the function goal of getting the launch products to Denver on time.</w:t>
      </w:r>
    </w:p>
    <w:p>
      <w:pPr>
        <w:spacing w:after="110" w:line="268"/>
        <w:ind w:left="360" w:hanging="250"/>
        <w:jc w:val="both"/>
      </w:pPr>
      <w:r>
        <w:rPr>
          <w:sz w:val="22"/>
          <w:szCs w:val="22"/>
        </w:rPr>
        <w:t xml:space="preserve">1.  Re-plan Denver against 15 October, not 3 October. Song Hong's historical mean slip of 12.1 days applied to the confirmed date puts realistic receipt in mid-October, and its worst observed case would put it near 22 October. The floor-set schedule and the launch marketing dates should be built against the projected date, with the promised date treated as the optimistic case.</w:t>
      </w:r>
    </w:p>
    <w:p>
      <w:pPr>
        <w:spacing w:after="110" w:line="268"/>
        <w:ind w:left="360" w:hanging="250"/>
        <w:jc w:val="both"/>
      </w:pPr>
      <w:r>
        <w:rPr>
          <w:sz w:val="22"/>
          <w:szCs w:val="22"/>
        </w:rPr>
        <w:t xml:space="preserve">2.  Test SH-2291 against OPS-04 today and escalate if it fails. Once the required in-store date is confirmed, the test is mechanical: if that date falls earlier than roughly 17 October, the order violates the two-week buffer rule and must go to the Operations Manager immediately. The urgency is contractual, since our only remedy expires at dispatch.</w:t>
      </w:r>
    </w:p>
    <w:p>
      <w:pPr>
        <w:spacing w:after="110" w:line="268"/>
        <w:ind w:left="360" w:hanging="250"/>
        <w:jc w:val="both"/>
      </w:pPr>
      <w:r>
        <w:rPr>
          <w:sz w:val="22"/>
          <w:szCs w:val="22"/>
        </w:rPr>
        <w:t xml:space="preserve">3.  Convert an invisible risk into a visible one. Request the planned ex-factory date, container-load date, and booking reference from Song Hong now, and log them as tracked milestones. Under section 6 the cancellation right is worthless unless we learn about the delay before dispatch, so milestone visibility is what makes the remedy real.</w:t>
      </w:r>
    </w:p>
    <w:p>
      <w:pPr>
        <w:spacing w:after="110" w:line="268"/>
        <w:ind w:left="360" w:hanging="250"/>
        <w:jc w:val="both"/>
      </w:pPr>
      <w:r>
        <w:rPr>
          <w:sz w:val="22"/>
          <w:szCs w:val="22"/>
        </w:rPr>
        <w:t xml:space="preserve">4.  Write the missing threshold into OPS-04. Define a documented history of late delivery quantitatively, for example any supplier below a set on-time percentage across its trailing orders, so the buffer fires automatically instead of by judgment. The shipment record already supplies the evidence, with Song Hong and Mekong at zero percent on-time and the Colombia and India suppliers averaging under a day late.</w:t>
      </w:r>
    </w:p>
    <w:p>
      <w:pPr>
        <w:spacing w:after="110" w:line="268"/>
        <w:ind w:left="360" w:hanging="250"/>
        <w:jc w:val="both"/>
      </w:pPr>
      <w:r>
        <w:rPr>
          <w:sz w:val="22"/>
          <w:szCs w:val="22"/>
        </w:rPr>
        <w:t xml:space="preserve">5.  Pre-brief receiving on the tolerance clause. Section 9 permits a quantity variance of plus or minus two percent on cut-and-sew apparel, so a delivery of 931 units against our 950 is contractually compliant while OPS-04 still requires it to be logged. Making that distinction explicit keeps escalation focused on date variance, which is where the launch risk actually is.</w:t>
      </w:r>
    </w:p>
    <w:p>
      <w:pPr>
        <w:spacing w:after="110" w:line="268"/>
        <w:ind w:left="360" w:hanging="250"/>
        <w:jc w:val="both"/>
      </w:pPr>
      <w:r>
        <w:rPr>
          <w:sz w:val="22"/>
          <w:szCs w:val="22"/>
        </w:rPr>
        <w:t xml:space="preserve">6.  Raise the contract gaps at the sourcing level, not the store level. A notice deadline, an on-time delivery target, and any remedy surviving dispatch are terms only a renegotiation can add. Consistent with the guardrails thinking in our Functional Brief, this belongs to company-wide sourcing and legal rather than to a local Operations rule.</w:t>
      </w:r>
    </w:p>
    <w:p>
      <w:pPr>
        <w:spacing w:after="140" w:line="276"/>
        <w:jc w:val="both"/>
      </w:pPr>
      <w:r>
        <w:rPr>
          <w:sz w:val="22"/>
          <w:szCs w:val="22"/>
        </w:rPr>
        <w:t xml:space="preserve">These insights also validate the AI opportunity we ranked first. The analysis above is essentially a compliance check of one purchase order against one SOP and one contract, cross-referenced with historical performance. Doing it by hand for every launch order is exactly the work that a shipment-risk model and a supplier reliability score were meant to absorb.</w:t>
      </w:r>
    </w:p>
    <w:p>
      <w:pPr>
        <w:pStyle w:val="Heading1"/>
        <w:spacing w:after="120" w:before="260"/>
      </w:pPr>
      <w:r>
        <w:rPr>
          <w:b/>
          <w:bCs/>
          <w:color w:val="1F3A5F"/>
          <w:sz w:val="28"/>
          <w:szCs w:val="28"/>
        </w:rPr>
        <w:t xml:space="preserve">Appendix: Prompts, Tools &amp; Verification</w:t>
      </w:r>
    </w:p>
    <w:p>
      <w:pPr>
        <w:pStyle w:val="Heading2"/>
        <w:spacing w:after="80" w:before="190"/>
      </w:pPr>
      <w:r>
        <w:rPr>
          <w:b/>
          <w:bCs/>
          <w:color w:val="1F3A5F"/>
          <w:sz w:val="24"/>
          <w:szCs w:val="24"/>
        </w:rPr>
        <w:t xml:space="preserve">A. Tools and Model Tiers</w:t>
      </w:r>
    </w:p>
    <w:p>
      <w:pPr>
        <w:spacing w:after="140" w:line="276"/>
        <w:jc w:val="both"/>
      </w:pPr>
      <w:r>
        <w:rPr>
          <w:sz w:val="22"/>
          <w:szCs w:val="22"/>
        </w:rPr>
        <w:t xml:space="preserve">Analysis was performed with a powerful-tier reasoning model rather than a fast tier, because the task required holding four sources in view at once and detecting conflicts between them rather than summarizing any single one. The fast tier was not used for the contradiction and verification passes, since those are precisely the steps where a plausible but unsupported sentence is most costly. The shipment dataset was analyzed programmatically rather than by asking the model to read the spreadsheet, which removed the risk of the model estimating figures that could be computed exactly.</w:t>
      </w:r>
    </w:p>
    <w:p>
      <w:pPr>
        <w:pStyle w:val="Heading2"/>
        <w:spacing w:after="80" w:before="190"/>
      </w:pPr>
      <w:r>
        <w:rPr>
          <w:b/>
          <w:bCs/>
          <w:color w:val="1F3A5F"/>
          <w:sz w:val="24"/>
          <w:szCs w:val="24"/>
        </w:rPr>
        <w:t xml:space="preserve">B. Prompts and Iteration</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4300"/>
        <w:gridCol w:w="2960"/>
      </w:tblGrid>
      <w:tr>
        <w:trPr>
          <w:tblHeader/>
        </w:trPr>
        <w:tc>
          <w:tcPr>
            <w:tcW w:type="dxa" w:w="2100"/>
            <w:shd w:fill="1F3A5F" w:color="auto" w:val="clear"/>
            <w:tcMar>
              <w:top w:type="dxa" w:w="60"/>
              <w:left w:type="dxa" w:w="110"/>
              <w:bottom w:type="dxa" w:w="60"/>
              <w:right w:type="dxa" w:w="110"/>
            </w:tcMar>
          </w:tcPr>
          <w:p>
            <w:pPr>
              <w:spacing w:after="0" w:line="252"/>
              <w:jc w:val="left"/>
            </w:pPr>
            <w:r>
              <w:rPr>
                <w:b/>
                <w:bCs/>
                <w:color w:val="FFFFFF"/>
                <w:sz w:val="20"/>
                <w:szCs w:val="20"/>
              </w:rPr>
              <w:t xml:space="preserve">Stage</w:t>
            </w:r>
          </w:p>
        </w:tc>
        <w:tc>
          <w:tcPr>
            <w:tcW w:type="dxa" w:w="4300"/>
            <w:shd w:fill="1F3A5F" w:color="auto" w:val="clear"/>
            <w:tcMar>
              <w:top w:type="dxa" w:w="60"/>
              <w:left w:type="dxa" w:w="110"/>
              <w:bottom w:type="dxa" w:w="60"/>
              <w:right w:type="dxa" w:w="110"/>
            </w:tcMar>
          </w:tcPr>
          <w:p>
            <w:pPr>
              <w:spacing w:after="0" w:line="252"/>
              <w:jc w:val="left"/>
            </w:pPr>
            <w:r>
              <w:rPr>
                <w:b/>
                <w:bCs/>
                <w:color w:val="FFFFFF"/>
                <w:sz w:val="20"/>
                <w:szCs w:val="20"/>
              </w:rPr>
              <w:t xml:space="preserve">Prompt phrasing that worked</w:t>
            </w:r>
          </w:p>
        </w:tc>
        <w:tc>
          <w:tcPr>
            <w:tcW w:type="dxa" w:w="2960"/>
            <w:shd w:fill="1F3A5F" w:color="auto" w:val="clear"/>
            <w:tcMar>
              <w:top w:type="dxa" w:w="60"/>
              <w:left w:type="dxa" w:w="110"/>
              <w:bottom w:type="dxa" w:w="60"/>
              <w:right w:type="dxa" w:w="110"/>
            </w:tcMar>
          </w:tcPr>
          <w:p>
            <w:pPr>
              <w:spacing w:after="0" w:line="252"/>
              <w:jc w:val="left"/>
            </w:pPr>
            <w:r>
              <w:rPr>
                <w:b/>
                <w:bCs/>
                <w:color w:val="FFFFFF"/>
                <w:sz w:val="20"/>
                <w:szCs w:val="20"/>
              </w:rPr>
              <w:t xml:space="preserve">What changed when we iterated</w:t>
            </w:r>
          </w:p>
        </w:tc>
      </w:tr>
      <w:tr>
        <w:tc>
          <w:tcPr>
            <w:tcW w:type="dxa" w:w="2100"/>
            <w:shd w:fill="E9EEF4" w:color="auto" w:val="clear"/>
            <w:tcMar>
              <w:top w:type="dxa" w:w="60"/>
              <w:left w:type="dxa" w:w="110"/>
              <w:bottom w:type="dxa" w:w="60"/>
              <w:right w:type="dxa" w:w="110"/>
            </w:tcMar>
          </w:tcPr>
          <w:p>
            <w:pPr>
              <w:spacing w:after="0" w:line="252"/>
              <w:jc w:val="left"/>
            </w:pPr>
            <w:r>
              <w:rPr>
                <w:b/>
                <w:bCs/>
                <w:color w:val="000000"/>
                <w:sz w:val="20"/>
                <w:szCs w:val="20"/>
              </w:rPr>
              <w:t xml:space="preserve">Extraction</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“Read only the document I have pasted. Extract every delivery, lead-time, and remedy term, and quote the exact phrase for each. For anything not stated, write ‘not in document.’”</w:t>
            </w:r>
          </w:p>
        </w:tc>
        <w:tc>
          <w:tcPr>
            <w:tcW w:type="dxa" w:w="29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An early version asked simply to “summarize the contract terms.” It produced fluent clauses about penalties and on-time targets that do not appear anywhere in §4 through §9. Forcing a quote for every term removed the invented content.</w:t>
            </w:r>
          </w:p>
        </w:tc>
      </w:tr>
      <w:tr>
        <w:tc>
          <w:tcPr>
            <w:tcW w:type="dxa" w:w="2100"/>
            <w:tcMar>
              <w:top w:type="dxa" w:w="60"/>
              <w:left w:type="dxa" w:w="110"/>
              <w:bottom w:type="dxa" w:w="60"/>
              <w:right w:type="dxa" w:w="110"/>
            </w:tcMar>
          </w:tcPr>
          <w:p>
            <w:pPr>
              <w:spacing w:after="0" w:line="252"/>
              <w:jc w:val="left"/>
            </w:pPr>
            <w:r>
              <w:rPr>
                <w:b/>
                <w:bCs/>
                <w:color w:val="000000"/>
                <w:sz w:val="20"/>
                <w:szCs w:val="20"/>
              </w:rPr>
              <w:t xml:space="preserve">Classification</w:t>
            </w:r>
          </w:p>
        </w:tc>
        <w:tc>
          <w:tcPr>
            <w:tcW w:type="dxa" w:w="4300"/>
            <w:tcMar>
              <w:top w:type="dxa" w:w="60"/>
              <w:left w:type="dxa" w:w="110"/>
              <w:bottom w:type="dxa" w:w="60"/>
              <w:right w:type="dxa" w:w="110"/>
            </w:tcMar>
          </w:tcPr>
          <w:p>
            <w:pPr>
              <w:spacing w:after="0" w:line="252"/>
              <w:jc w:val="left"/>
            </w:pPr>
            <w:r>
              <w:rPr>
                <w:b w:val="false"/>
                <w:bCs w:val="false"/>
                <w:color w:val="000000"/>
                <w:sz w:val="20"/>
                <w:szCs w:val="20"/>
              </w:rPr>
              <w:t xml:space="preserve">“Classify each source by document type, who authored it and in whose interest, and whether it is binding, internal, or advisory.”</w:t>
            </w:r>
          </w:p>
        </w:tc>
        <w:tc>
          <w:tcPr>
            <w:tcW w:type="dxa" w:w="2960"/>
            <w:tcMar>
              <w:top w:type="dxa" w:w="60"/>
              <w:left w:type="dxa" w:w="110"/>
              <w:bottom w:type="dxa" w:w="60"/>
              <w:right w:type="dxa" w:w="110"/>
            </w:tcMar>
          </w:tcPr>
          <w:p>
            <w:pPr>
              <w:spacing w:after="0" w:line="252"/>
              <w:jc w:val="left"/>
            </w:pPr>
            <w:r>
              <w:rPr>
                <w:b w:val="false"/>
                <w:bCs w:val="false"/>
                <w:color w:val="000000"/>
                <w:sz w:val="20"/>
                <w:szCs w:val="20"/>
              </w:rPr>
              <w:t xml:space="preserve">Asking only for ‘document type’ returned three near-identical labels. Adding the authorship and binding-force dimensions is what exposed that our only enforceable protection is internal.</w:t>
            </w:r>
          </w:p>
        </w:tc>
      </w:tr>
      <w:tr>
        <w:tc>
          <w:tcPr>
            <w:tcW w:type="dxa" w:w="21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Synthesis</w:t>
            </w:r>
          </w:p>
        </w:tc>
        <w:tc>
          <w:tcPr>
            <w:tcW w:type="dxa" w:w="4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“Using all four sources, give one theme, one contradiction, and one gap per document, and quote the line that proves each.”</w:t>
            </w:r>
          </w:p>
        </w:tc>
        <w:tc>
          <w:tcPr>
            <w:tcW w:type="dxa" w:w="29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A general ‘compare these documents’ prompt returned surface agreement between them. Requiring a contradiction per document surfaced the remedy-window problem in §6 and §7.</w:t>
            </w:r>
          </w:p>
        </w:tc>
      </w:tr>
      <w:tr>
        <w:tc>
          <w:tcPr>
            <w:tcW w:type="dxa" w:w="2100"/>
            <w:tcMar>
              <w:top w:type="dxa" w:w="60"/>
              <w:left w:type="dxa" w:w="110"/>
              <w:bottom w:type="dxa" w:w="60"/>
              <w:right w:type="dxa" w:w="110"/>
            </w:tcMar>
          </w:tcPr>
          <w:p>
            <w:pPr>
              <w:spacing w:after="0" w:line="252"/>
              <w:jc w:val="left"/>
            </w:pPr>
            <w:r>
              <w:rPr>
                <w:b/>
                <w:bCs/>
                <w:color w:val="000000"/>
                <w:sz w:val="20"/>
                <w:szCs w:val="20"/>
              </w:rPr>
              <w:t xml:space="preserve">Verification</w:t>
            </w:r>
          </w:p>
        </w:tc>
        <w:tc>
          <w:tcPr>
            <w:tcW w:type="dxa" w:w="4300"/>
            <w:tcMar>
              <w:top w:type="dxa" w:w="60"/>
              <w:left w:type="dxa" w:w="110"/>
              <w:bottom w:type="dxa" w:w="60"/>
              <w:right w:type="dxa" w:w="110"/>
            </w:tcMar>
          </w:tcPr>
          <w:p>
            <w:pPr>
              <w:spacing w:after="0" w:line="252"/>
              <w:jc w:val="left"/>
            </w:pPr>
            <w:r>
              <w:rPr>
                <w:b w:val="false"/>
                <w:bCs w:val="false"/>
                <w:color w:val="000000"/>
                <w:sz w:val="20"/>
                <w:szCs w:val="20"/>
              </w:rPr>
              <w:t xml:space="preserve">“For each finding, quote the supporting passage or mark it Unverified. Then re-read the middle of the document and tell me what I missed.”</w:t>
            </w:r>
          </w:p>
        </w:tc>
        <w:tc>
          <w:tcPr>
            <w:tcW w:type="dxa" w:w="2960"/>
            <w:tcMar>
              <w:top w:type="dxa" w:w="60"/>
              <w:left w:type="dxa" w:w="110"/>
              <w:bottom w:type="dxa" w:w="60"/>
              <w:right w:type="dxa" w:w="110"/>
            </w:tcMar>
          </w:tcPr>
          <w:p>
            <w:pPr>
              <w:spacing w:after="0" w:line="252"/>
              <w:jc w:val="left"/>
            </w:pPr>
            <w:r>
              <w:rPr>
                <w:b w:val="false"/>
                <w:bCs w:val="false"/>
                <w:color w:val="000000"/>
                <w:sz w:val="20"/>
                <w:szCs w:val="20"/>
              </w:rPr>
              <w:t xml:space="preserve">The middle-section instruction is what recovered §5 and §7, which the first pass skipped while over-weighting the opening definitions and the closing quantity clause.</w:t>
            </w:r>
          </w:p>
        </w:tc>
      </w:tr>
    </w:tbl>
    <w:p>
      <w:pPr>
        <w:spacing w:after="100"/>
      </w:pPr>
    </w:p>
    <w:p>
      <w:pPr>
        <w:spacing w:after="140" w:line="276"/>
        <w:jc w:val="both"/>
      </w:pPr>
      <w:r>
        <w:rPr>
          <w:sz w:val="22"/>
          <w:szCs w:val="22"/>
        </w:rPr>
        <w:t xml:space="preserve">The single most useful phrasing across every stage was the instruction to write “not in document” rather than fill a gap. Mollick's point in “Thinking Like an AI” is that the model produces the next plausible sentence rather than retrieving a fact, and the failure we actually observed matched that description closely: asked to summarize contract terms in general language, the model supplied the penalty and on-time provisions a supply agreement usually contains instead of the ones section 6 actually lacks. The absence was the finding, and only a prompt that made absence a legal answer could surface it.</w:t>
      </w:r>
    </w:p>
    <w:p>
      <w:pPr>
        <w:pStyle w:val="Heading2"/>
        <w:spacing w:after="80" w:before="190"/>
      </w:pPr>
      <w:r>
        <w:rPr>
          <w:b/>
          <w:bCs/>
          <w:color w:val="1F3A5F"/>
          <w:sz w:val="24"/>
          <w:szCs w:val="24"/>
        </w:rPr>
        <w:t xml:space="preserve">C. Grounding and Verification</w:t>
      </w:r>
    </w:p>
    <w:p>
      <w:pPr>
        <w:spacing w:after="140" w:line="276"/>
        <w:jc w:val="both"/>
      </w:pPr>
      <w:r>
        <w:rPr>
          <w:sz w:val="22"/>
          <w:szCs w:val="22"/>
        </w:rPr>
        <w:t xml:space="preserve">Every material claim was traced to a passage in a named source. Findings were then re-checked in a second pass against the original text, with the shipment record used as an independent check on any claim about supplier behavior, since it was produced by our own operations rather than by the model or the supplier.</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500"/>
        <w:gridCol w:w="3400"/>
        <w:gridCol w:w="1300"/>
        <w:gridCol w:w="1160"/>
      </w:tblGrid>
      <w:tr>
        <w:trPr>
          <w:tblHeader/>
        </w:trPr>
        <w:tc>
          <w:tcPr>
            <w:tcW w:type="dxa" w:w="3500"/>
            <w:shd w:fill="1F3A5F" w:color="auto" w:val="clear"/>
            <w:tcMar>
              <w:top w:type="dxa" w:w="60"/>
              <w:left w:type="dxa" w:w="110"/>
              <w:bottom w:type="dxa" w:w="60"/>
              <w:right w:type="dxa" w:w="110"/>
            </w:tcMar>
          </w:tcPr>
          <w:p>
            <w:pPr>
              <w:spacing w:after="0" w:line="252"/>
              <w:jc w:val="left"/>
            </w:pPr>
            <w:r>
              <w:rPr>
                <w:b/>
                <w:bCs/>
                <w:color w:val="FFFFFF"/>
                <w:sz w:val="20"/>
                <w:szCs w:val="20"/>
              </w:rPr>
              <w:t xml:space="preserve">Claim</w:t>
            </w:r>
          </w:p>
        </w:tc>
        <w:tc>
          <w:tcPr>
            <w:tcW w:type="dxa" w:w="3400"/>
            <w:shd w:fill="1F3A5F" w:color="auto" w:val="clear"/>
            <w:tcMar>
              <w:top w:type="dxa" w:w="60"/>
              <w:left w:type="dxa" w:w="110"/>
              <w:bottom w:type="dxa" w:w="60"/>
              <w:right w:type="dxa" w:w="110"/>
            </w:tcMar>
          </w:tcPr>
          <w:p>
            <w:pPr>
              <w:spacing w:after="0" w:line="252"/>
              <w:jc w:val="left"/>
            </w:pPr>
            <w:r>
              <w:rPr>
                <w:b/>
                <w:bCs/>
                <w:color w:val="FFFFFF"/>
                <w:sz w:val="20"/>
                <w:szCs w:val="20"/>
              </w:rPr>
              <w:t xml:space="preserve">Grounding passage</w:t>
            </w:r>
          </w:p>
        </w:tc>
        <w:tc>
          <w:tcPr>
            <w:tcW w:type="dxa" w:w="1300"/>
            <w:shd w:fill="1F3A5F" w:color="auto" w:val="clear"/>
            <w:tcMar>
              <w:top w:type="dxa" w:w="60"/>
              <w:left w:type="dxa" w:w="110"/>
              <w:bottom w:type="dxa" w:w="60"/>
              <w:right w:type="dxa" w:w="110"/>
            </w:tcMar>
          </w:tcPr>
          <w:p>
            <w:pPr>
              <w:spacing w:after="0" w:line="252"/>
              <w:jc w:val="left"/>
            </w:pPr>
            <w:r>
              <w:rPr>
                <w:b/>
                <w:bCs/>
                <w:color w:val="FFFFFF"/>
                <w:sz w:val="20"/>
                <w:szCs w:val="20"/>
              </w:rPr>
              <w:t xml:space="preserve">Source</w:t>
            </w:r>
          </w:p>
        </w:tc>
        <w:tc>
          <w:tcPr>
            <w:tcW w:type="dxa" w:w="1160"/>
            <w:shd w:fill="1F3A5F" w:color="auto" w:val="clear"/>
            <w:tcMar>
              <w:top w:type="dxa" w:w="60"/>
              <w:left w:type="dxa" w:w="110"/>
              <w:bottom w:type="dxa" w:w="60"/>
              <w:right w:type="dxa" w:w="110"/>
            </w:tcMar>
          </w:tcPr>
          <w:p>
            <w:pPr>
              <w:spacing w:after="0" w:line="252"/>
              <w:jc w:val="left"/>
            </w:pPr>
            <w:r>
              <w:rPr>
                <w:b/>
                <w:bCs/>
                <w:color w:val="FFFFFF"/>
                <w:sz w:val="20"/>
                <w:szCs w:val="20"/>
              </w:rPr>
              <w:t xml:space="preserve">Status</w:t>
            </w:r>
          </w:p>
        </w:tc>
      </w:tr>
      <w:tr>
        <w:tc>
          <w:tcPr>
            <w:tcW w:type="dxa" w:w="3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The supplier gave an unqualified assurance for 3 October.</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“does not anticipate any issues meeting the October 3 date”</w:t>
            </w:r>
          </w:p>
        </w:tc>
        <w:tc>
          <w:tcPr>
            <w:tcW w:type="dxa" w:w="1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S1</w:t>
            </w:r>
          </w:p>
        </w:tc>
        <w:tc>
          <w:tcPr>
            <w:tcW w:type="dxa" w:w="11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Verified</w:t>
            </w:r>
          </w:p>
        </w:tc>
      </w:tr>
      <w:tr>
        <w:tc>
          <w:tcPr>
            <w:tcW w:type="dxa" w:w="3500"/>
            <w:tcMar>
              <w:top w:type="dxa" w:w="60"/>
              <w:left w:type="dxa" w:w="110"/>
              <w:bottom w:type="dxa" w:w="60"/>
              <w:right w:type="dxa" w:w="110"/>
            </w:tcMar>
          </w:tcPr>
          <w:p>
            <w:pPr>
              <w:spacing w:after="0" w:line="252"/>
              <w:jc w:val="left"/>
            </w:pPr>
            <w:r>
              <w:rPr>
                <w:b/>
                <w:bCs/>
                <w:color w:val="000000"/>
                <w:sz w:val="20"/>
                <w:szCs w:val="20"/>
              </w:rPr>
              <w:t xml:space="preserve">The same contract makes that date unenforceable.</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“good-faith estimates and are not guarantees”</w:t>
            </w:r>
          </w:p>
        </w:tc>
        <w:tc>
          <w:tcPr>
            <w:tcW w:type="dxa" w:w="1300"/>
            <w:tcMar>
              <w:top w:type="dxa" w:w="60"/>
              <w:left w:type="dxa" w:w="110"/>
              <w:bottom w:type="dxa" w:w="60"/>
              <w:right w:type="dxa" w:w="110"/>
            </w:tcMar>
          </w:tcPr>
          <w:p>
            <w:pPr>
              <w:spacing w:after="0" w:line="252"/>
              <w:jc w:val="left"/>
            </w:pPr>
            <w:r>
              <w:rPr>
                <w:b w:val="false"/>
                <w:bCs w:val="false"/>
                <w:color w:val="000000"/>
                <w:sz w:val="20"/>
                <w:szCs w:val="20"/>
              </w:rPr>
              <w:t xml:space="preserve">S3 §4</w:t>
            </w:r>
          </w:p>
        </w:tc>
        <w:tc>
          <w:tcPr>
            <w:tcW w:type="dxa" w:w="1160"/>
            <w:tcMar>
              <w:top w:type="dxa" w:w="60"/>
              <w:left w:type="dxa" w:w="110"/>
              <w:bottom w:type="dxa" w:w="60"/>
              <w:right w:type="dxa" w:w="110"/>
            </w:tcMar>
          </w:tcPr>
          <w:p>
            <w:pPr>
              <w:spacing w:after="0" w:line="252"/>
              <w:jc w:val="left"/>
            </w:pPr>
            <w:r>
              <w:rPr>
                <w:b w:val="false"/>
                <w:bCs w:val="false"/>
                <w:color w:val="000000"/>
                <w:sz w:val="20"/>
                <w:szCs w:val="20"/>
              </w:rPr>
              <w:t xml:space="preserve">Verified</w:t>
            </w:r>
          </w:p>
        </w:tc>
      </w:tr>
      <w:tr>
        <w:tc>
          <w:tcPr>
            <w:tcW w:type="dxa" w:w="3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No financial penalty exists for a late shipment.</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“no liquidated damages, price reduction, or penalty”</w:t>
            </w:r>
          </w:p>
        </w:tc>
        <w:tc>
          <w:tcPr>
            <w:tcW w:type="dxa" w:w="1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S3 §6</w:t>
            </w:r>
          </w:p>
        </w:tc>
        <w:tc>
          <w:tcPr>
            <w:tcW w:type="dxa" w:w="11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Verified</w:t>
            </w:r>
          </w:p>
        </w:tc>
      </w:tr>
      <w:tr>
        <w:tc>
          <w:tcPr>
            <w:tcW w:type="dxa" w:w="3500"/>
            <w:tcMar>
              <w:top w:type="dxa" w:w="60"/>
              <w:left w:type="dxa" w:w="110"/>
              <w:bottom w:type="dxa" w:w="60"/>
              <w:right w:type="dxa" w:w="110"/>
            </w:tcMar>
          </w:tcPr>
          <w:p>
            <w:pPr>
              <w:spacing w:after="0" w:line="252"/>
              <w:jc w:val="left"/>
            </w:pPr>
            <w:r>
              <w:rPr>
                <w:b/>
                <w:bCs/>
                <w:color w:val="000000"/>
                <w:sz w:val="20"/>
                <w:szCs w:val="20"/>
              </w:rPr>
              <w:t xml:space="preserve">Buffer is mandatory for suppliers with a late-delivery history.</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“minimum two-week buffer into the order-by date”</w:t>
            </w:r>
          </w:p>
        </w:tc>
        <w:tc>
          <w:tcPr>
            <w:tcW w:type="dxa" w:w="1300"/>
            <w:tcMar>
              <w:top w:type="dxa" w:w="60"/>
              <w:left w:type="dxa" w:w="110"/>
              <w:bottom w:type="dxa" w:w="60"/>
              <w:right w:type="dxa" w:w="110"/>
            </w:tcMar>
          </w:tcPr>
          <w:p>
            <w:pPr>
              <w:spacing w:after="0" w:line="252"/>
              <w:jc w:val="left"/>
            </w:pPr>
            <w:r>
              <w:rPr>
                <w:b w:val="false"/>
                <w:bCs w:val="false"/>
                <w:color w:val="000000"/>
                <w:sz w:val="20"/>
                <w:szCs w:val="20"/>
              </w:rPr>
              <w:t xml:space="preserve">S2 step 2</w:t>
            </w:r>
          </w:p>
        </w:tc>
        <w:tc>
          <w:tcPr>
            <w:tcW w:type="dxa" w:w="1160"/>
            <w:tcMar>
              <w:top w:type="dxa" w:w="60"/>
              <w:left w:type="dxa" w:w="110"/>
              <w:bottom w:type="dxa" w:w="60"/>
              <w:right w:type="dxa" w:w="110"/>
            </w:tcMar>
          </w:tcPr>
          <w:p>
            <w:pPr>
              <w:spacing w:after="0" w:line="252"/>
              <w:jc w:val="left"/>
            </w:pPr>
            <w:r>
              <w:rPr>
                <w:b w:val="false"/>
                <w:bCs w:val="false"/>
                <w:color w:val="000000"/>
                <w:sz w:val="20"/>
                <w:szCs w:val="20"/>
              </w:rPr>
              <w:t xml:space="preserve">Verified</w:t>
            </w:r>
          </w:p>
        </w:tc>
      </w:tr>
      <w:tr>
        <w:tc>
          <w:tcPr>
            <w:tcW w:type="dxa" w:w="3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Song Hong has a documented late-delivery history.</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0% on-time across 24 received orders, mean 12.1 days late</w:t>
            </w:r>
          </w:p>
        </w:tc>
        <w:tc>
          <w:tcPr>
            <w:tcW w:type="dxa" w:w="1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S4</w:t>
            </w:r>
          </w:p>
        </w:tc>
        <w:tc>
          <w:tcPr>
            <w:tcW w:type="dxa" w:w="11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Verified</w:t>
            </w:r>
          </w:p>
        </w:tc>
      </w:tr>
      <w:tr>
        <w:tc>
          <w:tcPr>
            <w:tcW w:type="dxa" w:w="3500"/>
            <w:tcMar>
              <w:top w:type="dxa" w:w="60"/>
              <w:left w:type="dxa" w:w="110"/>
              <w:bottom w:type="dxa" w:w="60"/>
              <w:right w:type="dxa" w:w="110"/>
            </w:tcMar>
          </w:tcPr>
          <w:p>
            <w:pPr>
              <w:spacing w:after="0" w:line="252"/>
              <w:jc w:val="left"/>
            </w:pPr>
            <w:r>
              <w:rPr>
                <w:b/>
                <w:bCs/>
                <w:color w:val="000000"/>
                <w:sz w:val="20"/>
                <w:szCs w:val="20"/>
              </w:rPr>
              <w:t xml:space="preserve">Projected receipt lands near 15 October.</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Calculated: 3 Oct promise plus 12.1-day historical mean</w:t>
            </w:r>
          </w:p>
        </w:tc>
        <w:tc>
          <w:tcPr>
            <w:tcW w:type="dxa" w:w="1300"/>
            <w:tcMar>
              <w:top w:type="dxa" w:w="60"/>
              <w:left w:type="dxa" w:w="110"/>
              <w:bottom w:type="dxa" w:w="60"/>
              <w:right w:type="dxa" w:w="110"/>
            </w:tcMar>
          </w:tcPr>
          <w:p>
            <w:pPr>
              <w:spacing w:after="0" w:line="252"/>
              <w:jc w:val="left"/>
            </w:pPr>
            <w:r>
              <w:rPr>
                <w:b w:val="false"/>
                <w:bCs w:val="false"/>
                <w:color w:val="000000"/>
                <w:sz w:val="20"/>
                <w:szCs w:val="20"/>
              </w:rPr>
              <w:t xml:space="preserve">S1 + S4</w:t>
            </w:r>
          </w:p>
        </w:tc>
        <w:tc>
          <w:tcPr>
            <w:tcW w:type="dxa" w:w="1160"/>
            <w:tcMar>
              <w:top w:type="dxa" w:w="60"/>
              <w:left w:type="dxa" w:w="110"/>
              <w:bottom w:type="dxa" w:w="60"/>
              <w:right w:type="dxa" w:w="110"/>
            </w:tcMar>
          </w:tcPr>
          <w:p>
            <w:pPr>
              <w:spacing w:after="0" w:line="252"/>
              <w:jc w:val="left"/>
            </w:pPr>
            <w:r>
              <w:rPr>
                <w:b w:val="false"/>
                <w:bCs w:val="false"/>
                <w:color w:val="000000"/>
                <w:sz w:val="20"/>
                <w:szCs w:val="20"/>
              </w:rPr>
              <w:t xml:space="preserve">Inference</w:t>
            </w:r>
          </w:p>
        </w:tc>
      </w:tr>
      <w:tr>
        <w:tc>
          <w:tcPr>
            <w:tcW w:type="dxa" w:w="3500"/>
            <w:shd w:fill="E9EEF4" w:color="auto" w:val="clear"/>
            <w:tcMar>
              <w:top w:type="dxa" w:w="60"/>
              <w:left w:type="dxa" w:w="110"/>
              <w:bottom w:type="dxa" w:w="60"/>
              <w:right w:type="dxa" w:w="110"/>
            </w:tcMar>
          </w:tcPr>
          <w:p>
            <w:pPr>
              <w:spacing w:after="0" w:line="252"/>
              <w:jc w:val="left"/>
            </w:pPr>
            <w:r>
              <w:rPr>
                <w:b/>
                <w:bCs/>
                <w:color w:val="000000"/>
                <w:sz w:val="20"/>
                <w:szCs w:val="20"/>
              </w:rPr>
              <w:t xml:space="preserve">Denver requires goods in store by a specific date.</w:t>
            </w:r>
          </w:p>
        </w:tc>
        <w:tc>
          <w:tcPr>
            <w:tcW w:type="dxa" w:w="34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No passage located in S1, S2, or S3</w:t>
            </w:r>
          </w:p>
        </w:tc>
        <w:tc>
          <w:tcPr>
            <w:tcW w:type="dxa" w:w="130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w:t>
            </w:r>
          </w:p>
        </w:tc>
        <w:tc>
          <w:tcPr>
            <w:tcW w:type="dxa" w:w="1160"/>
            <w:shd w:fill="E9EEF4" w:color="auto" w:val="clear"/>
            <w:tcMar>
              <w:top w:type="dxa" w:w="60"/>
              <w:left w:type="dxa" w:w="110"/>
              <w:bottom w:type="dxa" w:w="60"/>
              <w:right w:type="dxa" w:w="110"/>
            </w:tcMar>
          </w:tcPr>
          <w:p>
            <w:pPr>
              <w:spacing w:after="0" w:line="252"/>
              <w:jc w:val="left"/>
            </w:pPr>
            <w:r>
              <w:rPr>
                <w:b w:val="false"/>
                <w:bCs w:val="false"/>
                <w:color w:val="000000"/>
                <w:sz w:val="20"/>
                <w:szCs w:val="20"/>
              </w:rPr>
              <w:t xml:space="preserve">Unverified</w:t>
            </w:r>
          </w:p>
        </w:tc>
      </w:tr>
      <w:tr>
        <w:tc>
          <w:tcPr>
            <w:tcW w:type="dxa" w:w="3500"/>
            <w:tcMar>
              <w:top w:type="dxa" w:w="60"/>
              <w:left w:type="dxa" w:w="110"/>
              <w:bottom w:type="dxa" w:w="60"/>
              <w:right w:type="dxa" w:w="110"/>
            </w:tcMar>
          </w:tcPr>
          <w:p>
            <w:pPr>
              <w:spacing w:after="0" w:line="252"/>
              <w:jc w:val="left"/>
            </w:pPr>
            <w:r>
              <w:rPr>
                <w:b/>
                <w:bCs/>
                <w:color w:val="000000"/>
                <w:sz w:val="20"/>
                <w:szCs w:val="20"/>
              </w:rPr>
              <w:t xml:space="preserve">The container load date is scheduled.</w:t>
            </w:r>
          </w:p>
        </w:tc>
        <w:tc>
          <w:tcPr>
            <w:tcW w:type="dxa" w:w="3400"/>
            <w:tcMar>
              <w:top w:type="dxa" w:w="60"/>
              <w:left w:type="dxa" w:w="110"/>
              <w:bottom w:type="dxa" w:w="60"/>
              <w:right w:type="dxa" w:w="110"/>
            </w:tcMar>
          </w:tcPr>
          <w:p>
            <w:pPr>
              <w:spacing w:after="0" w:line="252"/>
              <w:jc w:val="left"/>
            </w:pPr>
            <w:r>
              <w:rPr>
                <w:b w:val="false"/>
                <w:bCs w:val="false"/>
                <w:color w:val="000000"/>
                <w:sz w:val="20"/>
                <w:szCs w:val="20"/>
              </w:rPr>
              <w:t xml:space="preserve">No passage located; tracking deferred “once the vessel is confirmed”</w:t>
            </w:r>
          </w:p>
        </w:tc>
        <w:tc>
          <w:tcPr>
            <w:tcW w:type="dxa" w:w="1300"/>
            <w:tcMar>
              <w:top w:type="dxa" w:w="60"/>
              <w:left w:type="dxa" w:w="110"/>
              <w:bottom w:type="dxa" w:w="60"/>
              <w:right w:type="dxa" w:w="110"/>
            </w:tcMar>
          </w:tcPr>
          <w:p>
            <w:pPr>
              <w:spacing w:after="0" w:line="252"/>
              <w:jc w:val="left"/>
            </w:pPr>
            <w:r>
              <w:rPr>
                <w:b w:val="false"/>
                <w:bCs w:val="false"/>
                <w:color w:val="000000"/>
                <w:sz w:val="20"/>
                <w:szCs w:val="20"/>
              </w:rPr>
              <w:t xml:space="preserve">S1</w:t>
            </w:r>
          </w:p>
        </w:tc>
        <w:tc>
          <w:tcPr>
            <w:tcW w:type="dxa" w:w="1160"/>
            <w:tcMar>
              <w:top w:type="dxa" w:w="60"/>
              <w:left w:type="dxa" w:w="110"/>
              <w:bottom w:type="dxa" w:w="60"/>
              <w:right w:type="dxa" w:w="110"/>
            </w:tcMar>
          </w:tcPr>
          <w:p>
            <w:pPr>
              <w:spacing w:after="0" w:line="252"/>
              <w:jc w:val="left"/>
            </w:pPr>
            <w:r>
              <w:rPr>
                <w:b w:val="false"/>
                <w:bCs w:val="false"/>
                <w:color w:val="000000"/>
                <w:sz w:val="20"/>
                <w:szCs w:val="20"/>
              </w:rPr>
              <w:t xml:space="preserve">Unverified</w:t>
            </w:r>
          </w:p>
        </w:tc>
      </w:tr>
    </w:tbl>
    <w:p>
      <w:pPr>
        <w:spacing w:after="100"/>
      </w:pPr>
    </w:p>
    <w:p>
      <w:pPr>
        <w:spacing w:after="140" w:line="276"/>
        <w:jc w:val="both"/>
      </w:pPr>
      <w:r>
        <w:rPr>
          <w:sz w:val="22"/>
          <w:szCs w:val="22"/>
        </w:rPr>
        <w:t xml:space="preserve">Two items are flagged as unverified and were deliberately left unresolved rather than estimated. The Denver required in-store date appears nowhere in the document set, and the container load date does not exist yet. One item is flagged as an inference: the projected 15 October receipt is a calculation combining the confirmed date with historical performance, not a fact stated in any source, and it is labeled that way wherever it appears.</w:t>
      </w:r>
    </w:p>
    <w:p>
      <w:pPr>
        <w:spacing w:after="140" w:line="276"/>
        <w:jc w:val="both"/>
      </w:pPr>
      <w:r>
        <w:rPr>
          <w:sz w:val="22"/>
          <w:szCs w:val="22"/>
        </w:rPr>
        <w:t xml:space="preserve">The second-pass check also corrected a real omission. The first reading of S3 captured the opening definitions and the closing quantity clause while under-weighting sections 5 and 7, which is the middle-of-document failure mode the readings warn about. Those two sections turned out to contain the remedy-window problem that became one of the brief's central findings, so the middle-section re-read changed the conclusion rather than merely confirming it.</w:t>
      </w:r>
    </w:p>
    <w:p>
      <w:pPr>
        <w:pStyle w:val="Heading2"/>
        <w:spacing w:after="80" w:before="190"/>
      </w:pPr>
      <w:r>
        <w:rPr>
          <w:b/>
          <w:bCs/>
          <w:color w:val="1F3A5F"/>
          <w:sz w:val="24"/>
          <w:szCs w:val="24"/>
        </w:rPr>
        <w:t xml:space="preserve">D. Data Governance Consideration</w:t>
      </w:r>
    </w:p>
    <w:p>
      <w:pPr>
        <w:spacing w:after="140" w:line="276"/>
        <w:jc w:val="both"/>
      </w:pPr>
      <w:r>
        <w:rPr>
          <w:sz w:val="22"/>
          <w:szCs w:val="22"/>
        </w:rPr>
        <w:t xml:space="preserve">Source S3 is a signed supplier agreement, and S1 contains supplier pricing at the unit level. Neither should be pasted into a consumer AI tool. Even setting aside the confidentiality obligations GreenThreads owes Song Hong, unit costs and negotiated terms are exactly the material that would damage our position if it surfaced elsewhere, and a consumer tool offers no contractual assurance about retention or training use.</w:t>
      </w:r>
    </w:p>
    <w:p>
      <w:pPr>
        <w:spacing w:after="140" w:line="276"/>
        <w:jc w:val="both"/>
      </w:pPr>
      <w:r>
        <w:rPr>
          <w:sz w:val="22"/>
          <w:szCs w:val="22"/>
        </w:rPr>
        <w:t xml:space="preserve">Consistent with the split we drew in our Functional Brief, this belongs to a company-wide executive guardrail rather than a local Operations rule, because the exposure is identical whichever store or function does the pasting. The rule we would write is that executed contracts and supplier pricing may be processed only in a company-approved enterprise AI environment covered by a data processing agreement, and that any use of a public tool on supplier material requires redaction of counterparty names, unit costs, and total values first. The local rule that sits underneath it is narrower: Operations may use AI freely on our own shipment performance data, since it contains no counterparty pricing and is the dataset our reliability scoring depends on.</w:t>
      </w:r>
    </w:p>
    <w:p>
      <w:pPr>
        <w:pStyle w:val="Heading1"/>
        <w:spacing w:after="120" w:before="260"/>
      </w:pPr>
      <w:r>
        <w:rPr>
          <w:b/>
          <w:bCs/>
          <w:color w:val="1F3A5F"/>
          <w:sz w:val="28"/>
          <w:szCs w:val="28"/>
        </w:rPr>
        <w:t xml:space="preserve">References</w:t>
      </w:r>
    </w:p>
    <w:p>
      <w:pPr>
        <w:spacing w:after="110" w:line="264"/>
        <w:ind w:left="360" w:hanging="360"/>
      </w:pPr>
      <w:r>
        <w:rPr>
          <w:sz w:val="20"/>
          <w:szCs w:val="20"/>
        </w:rPr>
        <w:t xml:space="preserve">Mollick, E. (2025). Thinking like an AI. One Useful Thing.</w:t>
      </w:r>
    </w:p>
    <w:p>
      <w:pPr>
        <w:spacing w:after="110" w:line="264"/>
        <w:ind w:left="360" w:hanging="360"/>
      </w:pPr>
      <w:r>
        <w:rPr>
          <w:sz w:val="20"/>
          <w:szCs w:val="20"/>
        </w:rPr>
        <w:t xml:space="preserve">OpenAI. (2025). Introducing Deep Research.</w:t>
      </w:r>
    </w:p>
    <w:p>
      <w:pPr>
        <w:spacing w:after="110" w:line="264"/>
        <w:ind w:left="360" w:hanging="360"/>
      </w:pPr>
      <w:r>
        <w:rPr>
          <w:sz w:val="20"/>
          <w:szCs w:val="20"/>
        </w:rPr>
        <w:t xml:space="preserve">Eastwood, B. (2026, January 7). Scaling AI for results: Strategies from MIT Sloan Management Review. MIT Sloan School of Management.</w:t>
      </w:r>
    </w:p>
    <w:p>
      <w:pPr>
        <w:spacing w:after="110" w:line="264"/>
        <w:ind w:left="360" w:hanging="360"/>
      </w:pPr>
      <w:r>
        <w:rPr>
          <w:sz w:val="20"/>
          <w:szCs w:val="20"/>
        </w:rPr>
        <w:t xml:space="preserve">U.S. Securities and Exchange Commission. Supply and Purchase Agreement, EDGAR filing (Exhibit 10.25). https://www.sec.gov/Archives/edgar/data/1381272/000119312506261688/dex1025.htm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GreenThreads Operations: Document Intelligence Synthesis Brief</dc:title>
  <dc:creator>GreenThreads Operations Team</dc:creator>
  <cp:lastModifiedBy>Un-named</cp:lastModifiedBy>
  <cp:revision>1</cp:revision>
  <dcterms:created xsi:type="dcterms:W3CDTF">2026-07-23T23:33:18.851Z</dcterms:created>
  <dcterms:modified xsi:type="dcterms:W3CDTF">2026-07-23T23:33:18.864Z</dcterms:modified>
</cp:coreProperties>
</file>

<file path=docProps/custom.xml><?xml version="1.0" encoding="utf-8"?>
<Properties xmlns="http://schemas.openxmlformats.org/officeDocument/2006/custom-properties" xmlns:vt="http://schemas.openxmlformats.org/officeDocument/2006/docPropsVTypes"/>
</file>