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color w:val="1F4E79"/>
          <w:sz w:val="44"/>
        </w:rPr>
        <w:t>04_correlation 시각화 보고서</w:t>
      </w:r>
    </w:p>
    <w:p>
      <w:pPr>
        <w:jc w:val="center"/>
      </w:pPr>
      <w:r>
        <w:rPr>
          <w:rFonts w:ascii="NanumSquare" w:hAnsi="NanumSquare" w:eastAsia="NanumSquare"/>
          <w:color w:val="5A5A5A"/>
          <w:sz w:val="22"/>
        </w:rPr>
        <w:t>prep_master_grid 기반 정적 공간·임상 변수와 fire_label 간 Pearson 상관관계 분석</w:t>
      </w:r>
    </w:p>
    <w:p>
      <w:pPr>
        <w:pStyle w:val="Heading1"/>
      </w:pPr>
      <w:r>
        <w:rPr>
          <w:rFonts w:ascii="NanumSquare" w:hAnsi="NanumSquare" w:eastAsia="NanumSquare"/>
          <w:color w:val="1F4E79"/>
        </w:rPr>
        <w:t>1. 분석 목적</w:t>
      </w:r>
    </w:p>
    <w:p>
      <w:pPr>
        <w:pStyle w:val="BodyText"/>
      </w:pPr>
      <w:r>
        <w:rPr>
          <w:rFonts w:ascii="NanumSquare" w:hAnsi="NanumSquare" w:eastAsia="NanumSquare"/>
          <w:sz w:val="20"/>
        </w:rPr>
        <w:t>본 분석은 05_fire_label_master.parquet에 포함된 정적 격자 특성 변수와 산불 발생 라벨(fire_label)의 선형 상관 구조를 확인하기 위해 수행하였다. 전신주 수, 산림 여부, 고도, 경사, 사면 방향, 도로·하천 거리, 임상·영급·수고 변수와 fire_label을 함께 놓고 Pearson 상관계수를 계산하였다.</w:t>
      </w:r>
    </w:p>
    <w:p>
      <w:pPr>
        <w:pStyle w:val="BodyText"/>
      </w:pPr>
      <w:r>
        <w:rPr>
          <w:rFonts w:ascii="NanumSquare" w:hAnsi="NanumSquare" w:eastAsia="NanumSquare"/>
          <w:sz w:val="20"/>
        </w:rPr>
        <w:t>상관분석의 목적은 개별 변수가 타겟과 단독으로 강한 선형 관계를 갖는지, 그리고 입력 변수들끼리 중복 정보가 있는지 사전에 확인하는 것이다. 다만 산불 발생은 기상 조건, 강우 누적, 시간 가중치, 임상, 지형, 접근성 등이 결합된 희소 사건이므로 Pearson 상관계수만으로 변수 중요도를 판단해서는 안 된다.</w:t>
      </w:r>
    </w:p>
    <w:p>
      <w:pPr>
        <w:pStyle w:val="Heading1"/>
      </w:pPr>
      <w:r>
        <w:rPr>
          <w:rFonts w:ascii="NanumSquare" w:hAnsi="NanumSquare" w:eastAsia="NanumSquare"/>
          <w:color w:val="1F4E79"/>
        </w:rPr>
        <w:t>2. 분석 방법</w:t>
      </w:r>
    </w:p>
    <w:tbl>
      <w:tblPr>
        <w:tblStyle w:val="TableGrid"/>
        <w:tblW w:type="auto" w:w="0"/>
        <w:jc w:val="center"/>
        <w:tblLook w:firstColumn="1" w:firstRow="1" w:lastColumn="0" w:lastRow="0" w:noHBand="0" w:noVBand="1" w:val="04A0"/>
      </w:tblPr>
      <w:tblGrid>
        <w:gridCol w:w="7625"/>
        <w:gridCol w:w="7625"/>
      </w:tblGrid>
      <w:tr>
        <w:tc>
          <w:tcPr>
            <w:tcW w:type="dxa" w:w="3168"/>
            <w:shd w:fill="1F4E79"/>
            <w:vAlign w:val="center"/>
          </w:tcPr>
          <w:p>
            <w:pPr>
              <w:jc w:val="center"/>
            </w:pPr>
            <w:r/>
            <w:r>
              <w:rPr>
                <w:rFonts w:ascii="NanumSquare" w:hAnsi="NanumSquare" w:eastAsia="NanumSquare"/>
                <w:b/>
                <w:color w:val="FFFFFF"/>
                <w:sz w:val="18"/>
              </w:rPr>
              <w:t>항목</w:t>
            </w:r>
          </w:p>
        </w:tc>
        <w:tc>
          <w:tcPr>
            <w:tcW w:type="dxa" w:w="11808"/>
            <w:shd w:fill="1F4E79"/>
            <w:vAlign w:val="center"/>
          </w:tcPr>
          <w:p>
            <w:pPr>
              <w:jc w:val="center"/>
            </w:pPr>
            <w:r/>
            <w:r>
              <w:rPr>
                <w:rFonts w:ascii="NanumSquare" w:hAnsi="NanumSquare" w:eastAsia="NanumSquare"/>
                <w:b/>
                <w:color w:val="FFFFFF"/>
                <w:sz w:val="18"/>
              </w:rPr>
              <w:t>내용</w:t>
            </w:r>
          </w:p>
        </w:tc>
      </w:tr>
      <w:tr>
        <w:tc>
          <w:tcPr>
            <w:tcW w:type="dxa" w:w="3168"/>
            <w:vAlign w:val="center"/>
          </w:tcPr>
          <w:p>
            <w:pPr>
              <w:jc w:val="left"/>
            </w:pPr>
            <w:r/>
            <w:r>
              <w:rPr>
                <w:rFonts w:ascii="NanumSquare" w:hAnsi="NanumSquare" w:eastAsia="NanumSquare"/>
                <w:b w:val="0"/>
                <w:color w:val="000000"/>
                <w:sz w:val="17"/>
              </w:rPr>
              <w:t>입력 데이터</w:t>
            </w:r>
          </w:p>
        </w:tc>
        <w:tc>
          <w:tcPr>
            <w:tcW w:type="dxa" w:w="11808"/>
            <w:vAlign w:val="center"/>
          </w:tcPr>
          <w:p>
            <w:pPr>
              <w:jc w:val="center"/>
            </w:pPr>
            <w:r/>
            <w:r>
              <w:rPr>
                <w:rFonts w:ascii="NanumSquare" w:hAnsi="NanumSquare" w:eastAsia="NanumSquare"/>
                <w:b w:val="0"/>
                <w:color w:val="000000"/>
                <w:sz w:val="17"/>
              </w:rPr>
              <w:t>05_fire_label_master.parquet</w:t>
            </w:r>
          </w:p>
        </w:tc>
      </w:tr>
      <w:tr>
        <w:tc>
          <w:tcPr>
            <w:tcW w:type="dxa" w:w="3168"/>
            <w:vAlign w:val="center"/>
          </w:tcPr>
          <w:p>
            <w:pPr>
              <w:jc w:val="left"/>
            </w:pPr>
            <w:r/>
            <w:r>
              <w:rPr>
                <w:rFonts w:ascii="NanumSquare" w:hAnsi="NanumSquare" w:eastAsia="NanumSquare"/>
                <w:b w:val="0"/>
                <w:color w:val="000000"/>
                <w:sz w:val="17"/>
              </w:rPr>
              <w:t>분석 변수</w:t>
            </w:r>
          </w:p>
        </w:tc>
        <w:tc>
          <w:tcPr>
            <w:tcW w:type="dxa" w:w="11808"/>
            <w:vAlign w:val="center"/>
          </w:tcPr>
          <w:p>
            <w:pPr>
              <w:jc w:val="center"/>
            </w:pPr>
            <w:r/>
            <w:r>
              <w:rPr>
                <w:rFonts w:ascii="NanumSquare" w:hAnsi="NanumSquare" w:eastAsia="NanumSquare"/>
                <w:b w:val="0"/>
                <w:color w:val="000000"/>
                <w:sz w:val="17"/>
              </w:rPr>
              <w:t>pole_count, is_forest, elevation, slope, aspect_sin, aspect_cos, nearest_road_dist, nearest_river_dist, forest_type_code, age_class_code, tree_height_code, fire_label</w:t>
            </w:r>
          </w:p>
        </w:tc>
      </w:tr>
      <w:tr>
        <w:tc>
          <w:tcPr>
            <w:tcW w:type="dxa" w:w="3168"/>
            <w:vAlign w:val="center"/>
          </w:tcPr>
          <w:p>
            <w:pPr>
              <w:jc w:val="left"/>
            </w:pPr>
            <w:r/>
            <w:r>
              <w:rPr>
                <w:rFonts w:ascii="NanumSquare" w:hAnsi="NanumSquare" w:eastAsia="NanumSquare"/>
                <w:b w:val="0"/>
                <w:color w:val="000000"/>
                <w:sz w:val="17"/>
              </w:rPr>
              <w:t>상관계수</w:t>
            </w:r>
          </w:p>
        </w:tc>
        <w:tc>
          <w:tcPr>
            <w:tcW w:type="dxa" w:w="11808"/>
            <w:vAlign w:val="center"/>
          </w:tcPr>
          <w:p>
            <w:pPr>
              <w:jc w:val="center"/>
            </w:pPr>
            <w:r/>
            <w:r>
              <w:rPr>
                <w:rFonts w:ascii="NanumSquare" w:hAnsi="NanumSquare" w:eastAsia="NanumSquare"/>
                <w:b w:val="0"/>
                <w:color w:val="000000"/>
                <w:sz w:val="17"/>
              </w:rPr>
              <w:t>Pearson correlation coefficient</w:t>
            </w:r>
          </w:p>
        </w:tc>
      </w:tr>
      <w:tr>
        <w:tc>
          <w:tcPr>
            <w:tcW w:type="dxa" w:w="3168"/>
            <w:vAlign w:val="center"/>
          </w:tcPr>
          <w:p>
            <w:pPr>
              <w:jc w:val="left"/>
            </w:pPr>
            <w:r/>
            <w:r>
              <w:rPr>
                <w:rFonts w:ascii="NanumSquare" w:hAnsi="NanumSquare" w:eastAsia="NanumSquare"/>
                <w:b w:val="0"/>
                <w:color w:val="000000"/>
                <w:sz w:val="17"/>
              </w:rPr>
              <w:t>시각화</w:t>
            </w:r>
          </w:p>
        </w:tc>
        <w:tc>
          <w:tcPr>
            <w:tcW w:type="dxa" w:w="11808"/>
            <w:vAlign w:val="center"/>
          </w:tcPr>
          <w:p>
            <w:pPr>
              <w:jc w:val="center"/>
            </w:pPr>
            <w:r/>
            <w:r>
              <w:rPr>
                <w:rFonts w:ascii="NanumSquare" w:hAnsi="NanumSquare" w:eastAsia="NanumSquare"/>
                <w:b w:val="0"/>
                <w:color w:val="000000"/>
                <w:sz w:val="17"/>
              </w:rPr>
              <w:t>전체 상관계수 히트맵 + fire_label 기준 개별 상관계수 바 차트</w:t>
            </w:r>
          </w:p>
        </w:tc>
      </w:tr>
      <w:tr>
        <w:tc>
          <w:tcPr>
            <w:tcW w:type="dxa" w:w="3168"/>
            <w:vAlign w:val="center"/>
          </w:tcPr>
          <w:p>
            <w:pPr>
              <w:jc w:val="left"/>
            </w:pPr>
            <w:r/>
            <w:r>
              <w:rPr>
                <w:rFonts w:ascii="NanumSquare" w:hAnsi="NanumSquare" w:eastAsia="NanumSquare"/>
                <w:b w:val="0"/>
                <w:color w:val="000000"/>
                <w:sz w:val="17"/>
              </w:rPr>
              <w:t>판단 기준</w:t>
            </w:r>
          </w:p>
        </w:tc>
        <w:tc>
          <w:tcPr>
            <w:tcW w:type="dxa" w:w="11808"/>
            <w:vAlign w:val="center"/>
          </w:tcPr>
          <w:p>
            <w:pPr>
              <w:jc w:val="center"/>
            </w:pPr>
            <w:r/>
            <w:r>
              <w:rPr>
                <w:rFonts w:ascii="NanumSquare" w:hAnsi="NanumSquare" w:eastAsia="NanumSquare"/>
                <w:b w:val="0"/>
                <w:color w:val="000000"/>
                <w:sz w:val="17"/>
              </w:rPr>
              <w:t>|r| &gt;= 0.3은 비교적 주목할 만한 선형 관계로 별도 확인</w:t>
            </w:r>
          </w:p>
        </w:tc>
      </w:tr>
    </w:tbl>
    <w:p/>
    <w:p>
      <w:pPr>
        <w:pStyle w:val="Heading1"/>
      </w:pPr>
      <w:r>
        <w:rPr>
          <w:rFonts w:ascii="NanumSquare" w:hAnsi="NanumSquare" w:eastAsia="NanumSquare"/>
          <w:color w:val="1F4E79"/>
        </w:rPr>
        <w:t>3. 상관관계 시각화 결과</w:t>
      </w:r>
    </w:p>
    <w:p>
      <w:pPr>
        <w:jc w:val="center"/>
      </w:pPr>
      <w:r>
        <w:drawing>
          <wp:inline xmlns:a="http://schemas.openxmlformats.org/drawingml/2006/main" xmlns:pic="http://schemas.openxmlformats.org/drawingml/2006/picture">
            <wp:extent cx="9509760" cy="4429839"/>
            <wp:docPr id="1" name="Picture 1"/>
            <wp:cNvGraphicFramePr>
              <a:graphicFrameLocks noChangeAspect="1"/>
            </wp:cNvGraphicFramePr>
            <a:graphic>
              <a:graphicData uri="http://schemas.openxmlformats.org/drawingml/2006/picture">
                <pic:pic>
                  <pic:nvPicPr>
                    <pic:cNvPr id="0" name="04_correlation_heatmap.png"/>
                    <pic:cNvPicPr/>
                  </pic:nvPicPr>
                  <pic:blipFill>
                    <a:blip r:embed="rId9"/>
                    <a:stretch>
                      <a:fillRect/>
                    </a:stretch>
                  </pic:blipFill>
                  <pic:spPr>
                    <a:xfrm>
                      <a:off x="0" y="0"/>
                      <a:ext cx="9509760" cy="4429839"/>
                    </a:xfrm>
                    <a:prstGeom prst="rect"/>
                  </pic:spPr>
                </pic:pic>
              </a:graphicData>
            </a:graphic>
          </wp:inline>
        </w:drawing>
      </w:r>
    </w:p>
    <w:p>
      <w:pPr>
        <w:jc w:val="center"/>
      </w:pPr>
      <w:r>
        <w:rPr>
          <w:rFonts w:ascii="NanumSquare" w:hAnsi="NanumSquare" w:eastAsia="NanumSquare"/>
          <w:i/>
          <w:sz w:val="17"/>
        </w:rPr>
        <w:t>그림 1. Pearson 상관계수 히트맵 및 fire_label 기준 개별 상관계수</w:t>
      </w:r>
    </w:p>
    <w:p>
      <w:pPr>
        <w:pStyle w:val="Heading1"/>
      </w:pPr>
      <w:r>
        <w:rPr>
          <w:rFonts w:ascii="NanumSquare" w:hAnsi="NanumSquare" w:eastAsia="NanumSquare"/>
          <w:color w:val="1F4E79"/>
        </w:rPr>
        <w:t>4. 주요 결과 요약</w:t>
      </w:r>
    </w:p>
    <w:p>
      <w:pPr>
        <w:pStyle w:val="BodyText"/>
      </w:pPr>
      <w:r>
        <w:rPr>
          <w:rFonts w:ascii="NanumSquare" w:hAnsi="NanumSquare" w:eastAsia="NanumSquare"/>
          <w:sz w:val="20"/>
        </w:rPr>
        <w:t>전체 변수쌍 중 비교적 뚜렷한 선형 관계는 일부 정적 변수 간에서만 나타났다. 반면 fire_label과 개별 정적 변수의 상관계수는 모두 0에 매우 가까웠다.</w:t>
      </w:r>
    </w:p>
    <w:tbl>
      <w:tblPr>
        <w:tblStyle w:val="TableGrid"/>
        <w:tblW w:type="auto" w:w="0"/>
        <w:jc w:val="center"/>
        <w:tblLook w:firstColumn="1" w:firstRow="1" w:lastColumn="0" w:lastRow="0" w:noHBand="0" w:noVBand="1" w:val="04A0"/>
      </w:tblPr>
      <w:tblGrid>
        <w:gridCol w:w="5083"/>
        <w:gridCol w:w="5083"/>
        <w:gridCol w:w="5083"/>
      </w:tblGrid>
      <w:tr>
        <w:tc>
          <w:tcPr>
            <w:tcW w:type="dxa" w:w="3744"/>
            <w:shd w:fill="1F4E79"/>
            <w:vAlign w:val="center"/>
          </w:tcPr>
          <w:p>
            <w:pPr>
              <w:jc w:val="center"/>
            </w:pPr>
            <w:r/>
            <w:r>
              <w:rPr>
                <w:rFonts w:ascii="NanumSquare" w:hAnsi="NanumSquare" w:eastAsia="NanumSquare"/>
                <w:b/>
                <w:color w:val="FFFFFF"/>
                <w:sz w:val="18"/>
              </w:rPr>
              <w:t>변수쌍</w:t>
            </w:r>
          </w:p>
        </w:tc>
        <w:tc>
          <w:tcPr>
            <w:tcW w:type="dxa" w:w="1728"/>
            <w:shd w:fill="1F4E79"/>
            <w:vAlign w:val="center"/>
          </w:tcPr>
          <w:p>
            <w:pPr>
              <w:jc w:val="center"/>
            </w:pPr>
            <w:r/>
            <w:r>
              <w:rPr>
                <w:rFonts w:ascii="NanumSquare" w:hAnsi="NanumSquare" w:eastAsia="NanumSquare"/>
                <w:b/>
                <w:color w:val="FFFFFF"/>
                <w:sz w:val="18"/>
              </w:rPr>
              <w:t>상관계수</w:t>
            </w:r>
          </w:p>
        </w:tc>
        <w:tc>
          <w:tcPr>
            <w:tcW w:type="dxa" w:w="9504"/>
            <w:shd w:fill="1F4E79"/>
            <w:vAlign w:val="center"/>
          </w:tcPr>
          <w:p>
            <w:pPr>
              <w:jc w:val="center"/>
            </w:pPr>
            <w:r/>
            <w:r>
              <w:rPr>
                <w:rFonts w:ascii="NanumSquare" w:hAnsi="NanumSquare" w:eastAsia="NanumSquare"/>
                <w:b/>
                <w:color w:val="FFFFFF"/>
                <w:sz w:val="18"/>
              </w:rPr>
              <w:t>해석</w:t>
            </w:r>
          </w:p>
        </w:tc>
      </w:tr>
      <w:tr>
        <w:tc>
          <w:tcPr>
            <w:tcW w:type="dxa" w:w="3744"/>
            <w:vAlign w:val="center"/>
          </w:tcPr>
          <w:p>
            <w:pPr>
              <w:jc w:val="left"/>
            </w:pPr>
            <w:r/>
            <w:r>
              <w:rPr>
                <w:rFonts w:ascii="NanumSquare" w:hAnsi="NanumSquare" w:eastAsia="NanumSquare"/>
                <w:b w:val="0"/>
                <w:color w:val="000000"/>
                <w:sz w:val="17"/>
              </w:rPr>
              <w:t>age_class_code - tree_height_code</w:t>
            </w:r>
          </w:p>
        </w:tc>
        <w:tc>
          <w:tcPr>
            <w:tcW w:type="dxa" w:w="1728"/>
            <w:vAlign w:val="center"/>
          </w:tcPr>
          <w:p>
            <w:pPr>
              <w:jc w:val="center"/>
            </w:pPr>
            <w:r/>
            <w:r>
              <w:rPr>
                <w:rFonts w:ascii="NanumSquare" w:hAnsi="NanumSquare" w:eastAsia="NanumSquare"/>
                <w:b w:val="0"/>
                <w:color w:val="000000"/>
                <w:sz w:val="17"/>
              </w:rPr>
              <w:t>+0.53</w:t>
            </w:r>
          </w:p>
        </w:tc>
        <w:tc>
          <w:tcPr>
            <w:tcW w:type="dxa" w:w="9504"/>
            <w:vAlign w:val="center"/>
          </w:tcPr>
          <w:p>
            <w:pPr>
              <w:jc w:val="center"/>
            </w:pPr>
            <w:r/>
            <w:r>
              <w:rPr>
                <w:rFonts w:ascii="NanumSquare" w:hAnsi="NanumSquare" w:eastAsia="NanumSquare"/>
                <w:b w:val="0"/>
                <w:color w:val="000000"/>
                <w:sz w:val="17"/>
              </w:rPr>
              <w:t>영급이 높을수록 임분고가 함께 증가하는 자연스러운 양의 관계이다. 두 변수는 생육 단계 정보를 함께 담고 있어 모델에서 정보 중복 가능성이 있다.</w:t>
            </w:r>
          </w:p>
        </w:tc>
      </w:tr>
      <w:tr>
        <w:tc>
          <w:tcPr>
            <w:tcW w:type="dxa" w:w="3744"/>
            <w:vAlign w:val="center"/>
          </w:tcPr>
          <w:p>
            <w:pPr>
              <w:jc w:val="left"/>
            </w:pPr>
            <w:r/>
            <w:r>
              <w:rPr>
                <w:rFonts w:ascii="NanumSquare" w:hAnsi="NanumSquare" w:eastAsia="NanumSquare"/>
                <w:b w:val="0"/>
                <w:color w:val="000000"/>
                <w:sz w:val="17"/>
              </w:rPr>
              <w:t>pole_count - nearest_road_dist</w:t>
            </w:r>
          </w:p>
        </w:tc>
        <w:tc>
          <w:tcPr>
            <w:tcW w:type="dxa" w:w="1728"/>
            <w:vAlign w:val="center"/>
          </w:tcPr>
          <w:p>
            <w:pPr>
              <w:jc w:val="center"/>
            </w:pPr>
            <w:r/>
            <w:r>
              <w:rPr>
                <w:rFonts w:ascii="NanumSquare" w:hAnsi="NanumSquare" w:eastAsia="NanumSquare"/>
                <w:b w:val="0"/>
                <w:color w:val="000000"/>
                <w:sz w:val="17"/>
              </w:rPr>
              <w:t>-0.43</w:t>
            </w:r>
          </w:p>
        </w:tc>
        <w:tc>
          <w:tcPr>
            <w:tcW w:type="dxa" w:w="9504"/>
            <w:vAlign w:val="center"/>
          </w:tcPr>
          <w:p>
            <w:pPr>
              <w:jc w:val="center"/>
            </w:pPr>
            <w:r/>
            <w:r>
              <w:rPr>
                <w:rFonts w:ascii="NanumSquare" w:hAnsi="NanumSquare" w:eastAsia="NanumSquare"/>
                <w:b w:val="0"/>
                <w:color w:val="000000"/>
                <w:sz w:val="17"/>
              </w:rPr>
              <w:t>전신주가 많은 격자는 도로와 가까운 경향이 있다. 전신주 데이터가 접근성·인프라 밀집도를 반영한다는 해석이 가능하다.</w:t>
            </w:r>
          </w:p>
        </w:tc>
      </w:tr>
      <w:tr>
        <w:tc>
          <w:tcPr>
            <w:tcW w:type="dxa" w:w="3744"/>
            <w:vAlign w:val="center"/>
          </w:tcPr>
          <w:p>
            <w:pPr>
              <w:jc w:val="left"/>
            </w:pPr>
            <w:r/>
            <w:r>
              <w:rPr>
                <w:rFonts w:ascii="NanumSquare" w:hAnsi="NanumSquare" w:eastAsia="NanumSquare"/>
                <w:b w:val="0"/>
                <w:color w:val="000000"/>
                <w:sz w:val="17"/>
              </w:rPr>
              <w:t>pole_count - is_forest</w:t>
            </w:r>
          </w:p>
        </w:tc>
        <w:tc>
          <w:tcPr>
            <w:tcW w:type="dxa" w:w="1728"/>
            <w:vAlign w:val="center"/>
          </w:tcPr>
          <w:p>
            <w:pPr>
              <w:jc w:val="center"/>
            </w:pPr>
            <w:r/>
            <w:r>
              <w:rPr>
                <w:rFonts w:ascii="NanumSquare" w:hAnsi="NanumSquare" w:eastAsia="NanumSquare"/>
                <w:b w:val="0"/>
                <w:color w:val="000000"/>
                <w:sz w:val="17"/>
              </w:rPr>
              <w:t>-0.26</w:t>
            </w:r>
          </w:p>
        </w:tc>
        <w:tc>
          <w:tcPr>
            <w:tcW w:type="dxa" w:w="9504"/>
            <w:vAlign w:val="center"/>
          </w:tcPr>
          <w:p>
            <w:pPr>
              <w:jc w:val="center"/>
            </w:pPr>
            <w:r/>
            <w:r>
              <w:rPr>
                <w:rFonts w:ascii="NanumSquare" w:hAnsi="NanumSquare" w:eastAsia="NanumSquare"/>
                <w:b w:val="0"/>
                <w:color w:val="000000"/>
                <w:sz w:val="17"/>
              </w:rPr>
              <w:t>비산림·생활권에 전신주가 더 밀집할 가능성을 시사한다.</w:t>
            </w:r>
          </w:p>
        </w:tc>
      </w:tr>
      <w:tr>
        <w:tc>
          <w:tcPr>
            <w:tcW w:type="dxa" w:w="3744"/>
            <w:vAlign w:val="center"/>
          </w:tcPr>
          <w:p>
            <w:pPr>
              <w:jc w:val="left"/>
            </w:pPr>
            <w:r/>
            <w:r>
              <w:rPr>
                <w:rFonts w:ascii="NanumSquare" w:hAnsi="NanumSquare" w:eastAsia="NanumSquare"/>
                <w:b w:val="0"/>
                <w:color w:val="000000"/>
                <w:sz w:val="17"/>
              </w:rPr>
              <w:t>pole_count - slope</w:t>
            </w:r>
          </w:p>
        </w:tc>
        <w:tc>
          <w:tcPr>
            <w:tcW w:type="dxa" w:w="1728"/>
            <w:vAlign w:val="center"/>
          </w:tcPr>
          <w:p>
            <w:pPr>
              <w:jc w:val="center"/>
            </w:pPr>
            <w:r/>
            <w:r>
              <w:rPr>
                <w:rFonts w:ascii="NanumSquare" w:hAnsi="NanumSquare" w:eastAsia="NanumSquare"/>
                <w:b w:val="0"/>
                <w:color w:val="000000"/>
                <w:sz w:val="17"/>
              </w:rPr>
              <w:t>-0.25</w:t>
            </w:r>
          </w:p>
        </w:tc>
        <w:tc>
          <w:tcPr>
            <w:tcW w:type="dxa" w:w="9504"/>
            <w:vAlign w:val="center"/>
          </w:tcPr>
          <w:p>
            <w:pPr>
              <w:jc w:val="center"/>
            </w:pPr>
            <w:r/>
            <w:r>
              <w:rPr>
                <w:rFonts w:ascii="NanumSquare" w:hAnsi="NanumSquare" w:eastAsia="NanumSquare"/>
                <w:b w:val="0"/>
                <w:color w:val="000000"/>
                <w:sz w:val="17"/>
              </w:rPr>
              <w:t>경사가 급한 곳보다 완만하거나 접근 가능한 지역에 전신주가 많은 경향으로 볼 수 있다.</w:t>
            </w:r>
          </w:p>
        </w:tc>
      </w:tr>
      <w:tr>
        <w:tc>
          <w:tcPr>
            <w:tcW w:type="dxa" w:w="3744"/>
            <w:vAlign w:val="center"/>
          </w:tcPr>
          <w:p>
            <w:pPr>
              <w:jc w:val="left"/>
            </w:pPr>
            <w:r/>
            <w:r>
              <w:rPr>
                <w:rFonts w:ascii="NanumSquare" w:hAnsi="NanumSquare" w:eastAsia="NanumSquare"/>
                <w:b w:val="0"/>
                <w:color w:val="000000"/>
                <w:sz w:val="17"/>
              </w:rPr>
              <w:t>is_forest - elevation / slope</w:t>
            </w:r>
          </w:p>
        </w:tc>
        <w:tc>
          <w:tcPr>
            <w:tcW w:type="dxa" w:w="1728"/>
            <w:vAlign w:val="center"/>
          </w:tcPr>
          <w:p>
            <w:pPr>
              <w:jc w:val="center"/>
            </w:pPr>
            <w:r/>
            <w:r>
              <w:rPr>
                <w:rFonts w:ascii="NanumSquare" w:hAnsi="NanumSquare" w:eastAsia="NanumSquare"/>
                <w:b w:val="0"/>
                <w:color w:val="000000"/>
                <w:sz w:val="17"/>
              </w:rPr>
              <w:t>+0.22 / +0.22</w:t>
            </w:r>
          </w:p>
        </w:tc>
        <w:tc>
          <w:tcPr>
            <w:tcW w:type="dxa" w:w="9504"/>
            <w:vAlign w:val="center"/>
          </w:tcPr>
          <w:p>
            <w:pPr>
              <w:jc w:val="center"/>
            </w:pPr>
            <w:r/>
            <w:r>
              <w:rPr>
                <w:rFonts w:ascii="NanumSquare" w:hAnsi="NanumSquare" w:eastAsia="NanumSquare"/>
                <w:b w:val="0"/>
                <w:color w:val="000000"/>
                <w:sz w:val="17"/>
              </w:rPr>
              <w:t>산림 격자가 비산림 격자보다 상대적으로 고도가 높거나 경사가 큰 지역에 분포할 가능성을 보여준다.</w:t>
            </w:r>
          </w:p>
        </w:tc>
      </w:tr>
    </w:tbl>
    <w:p/>
    <w:p>
      <w:pPr>
        <w:pStyle w:val="Heading1"/>
      </w:pPr>
      <w:r>
        <w:rPr>
          <w:rFonts w:ascii="NanumSquare" w:hAnsi="NanumSquare" w:eastAsia="NanumSquare"/>
          <w:color w:val="1F4E79"/>
        </w:rPr>
        <w:t>5. fire_label과의 관계 해석</w:t>
      </w:r>
    </w:p>
    <w:tbl>
      <w:tblPr>
        <w:tblStyle w:val="TableGrid"/>
        <w:tblW w:type="auto" w:w="0"/>
        <w:jc w:val="center"/>
        <w:tblLook w:firstColumn="1" w:firstRow="1" w:lastColumn="0" w:lastRow="0" w:noHBand="0" w:noVBand="1" w:val="04A0"/>
      </w:tblPr>
      <w:tblGrid>
        <w:gridCol w:w="5083"/>
        <w:gridCol w:w="5083"/>
        <w:gridCol w:w="5083"/>
      </w:tblGrid>
      <w:tr>
        <w:tc>
          <w:tcPr>
            <w:tcW w:type="dxa" w:w="3168"/>
            <w:shd w:fill="1F4E79"/>
            <w:vAlign w:val="center"/>
          </w:tcPr>
          <w:p>
            <w:pPr>
              <w:jc w:val="center"/>
            </w:pPr>
            <w:r/>
            <w:r>
              <w:rPr>
                <w:rFonts w:ascii="NanumSquare" w:hAnsi="NanumSquare" w:eastAsia="NanumSquare"/>
                <w:b/>
                <w:color w:val="FFFFFF"/>
                <w:sz w:val="18"/>
              </w:rPr>
              <w:t>변수</w:t>
            </w:r>
          </w:p>
        </w:tc>
        <w:tc>
          <w:tcPr>
            <w:tcW w:type="dxa" w:w="2592"/>
            <w:shd w:fill="1F4E79"/>
            <w:vAlign w:val="center"/>
          </w:tcPr>
          <w:p>
            <w:pPr>
              <w:jc w:val="center"/>
            </w:pPr>
            <w:r/>
            <w:r>
              <w:rPr>
                <w:rFonts w:ascii="NanumSquare" w:hAnsi="NanumSquare" w:eastAsia="NanumSquare"/>
                <w:b/>
                <w:color w:val="FFFFFF"/>
                <w:sz w:val="18"/>
              </w:rPr>
              <w:t>fire_label 상관계수</w:t>
            </w:r>
          </w:p>
        </w:tc>
        <w:tc>
          <w:tcPr>
            <w:tcW w:type="dxa" w:w="9216"/>
            <w:shd w:fill="1F4E79"/>
            <w:vAlign w:val="center"/>
          </w:tcPr>
          <w:p>
            <w:pPr>
              <w:jc w:val="center"/>
            </w:pPr>
            <w:r/>
            <w:r>
              <w:rPr>
                <w:rFonts w:ascii="NanumSquare" w:hAnsi="NanumSquare" w:eastAsia="NanumSquare"/>
                <w:b/>
                <w:color w:val="FFFFFF"/>
                <w:sz w:val="18"/>
              </w:rPr>
              <w:t>해석</w:t>
            </w:r>
          </w:p>
        </w:tc>
      </w:tr>
      <w:tr>
        <w:tc>
          <w:tcPr>
            <w:tcW w:type="dxa" w:w="3168"/>
            <w:vAlign w:val="center"/>
          </w:tcPr>
          <w:p>
            <w:pPr>
              <w:jc w:val="left"/>
            </w:pPr>
            <w:r/>
            <w:r>
              <w:rPr>
                <w:rFonts w:ascii="NanumSquare" w:hAnsi="NanumSquare" w:eastAsia="NanumSquare"/>
                <w:b w:val="0"/>
                <w:color w:val="000000"/>
                <w:sz w:val="17"/>
              </w:rPr>
              <w:t>age_class_code</w:t>
            </w:r>
          </w:p>
        </w:tc>
        <w:tc>
          <w:tcPr>
            <w:tcW w:type="dxa" w:w="2592"/>
            <w:vAlign w:val="center"/>
          </w:tcPr>
          <w:p>
            <w:pPr>
              <w:jc w:val="center"/>
            </w:pPr>
            <w:r/>
            <w:r>
              <w:rPr>
                <w:rFonts w:ascii="NanumSquare" w:hAnsi="NanumSquare" w:eastAsia="NanumSquare"/>
                <w:b w:val="0"/>
                <w:color w:val="000000"/>
                <w:sz w:val="17"/>
              </w:rPr>
              <w:t>-0.0146</w:t>
            </w:r>
          </w:p>
        </w:tc>
        <w:tc>
          <w:tcPr>
            <w:tcW w:type="dxa" w:w="9216"/>
            <w:vAlign w:val="center"/>
          </w:tcPr>
          <w:p>
            <w:pPr>
              <w:jc w:val="center"/>
            </w:pPr>
            <w:r/>
            <w:r>
              <w:rPr>
                <w:rFonts w:ascii="NanumSquare" w:hAnsi="NanumSquare" w:eastAsia="NanumSquare"/>
                <w:b w:val="0"/>
                <w:color w:val="000000"/>
                <w:sz w:val="17"/>
              </w:rPr>
              <w:t>절댓값 기준 가장 큰 편이나 실질적으로 매우 약한 음의 상관</w:t>
            </w:r>
          </w:p>
        </w:tc>
      </w:tr>
      <w:tr>
        <w:tc>
          <w:tcPr>
            <w:tcW w:type="dxa" w:w="3168"/>
            <w:vAlign w:val="center"/>
          </w:tcPr>
          <w:p>
            <w:pPr>
              <w:jc w:val="left"/>
            </w:pPr>
            <w:r/>
            <w:r>
              <w:rPr>
                <w:rFonts w:ascii="NanumSquare" w:hAnsi="NanumSquare" w:eastAsia="NanumSquare"/>
                <w:b w:val="0"/>
                <w:color w:val="000000"/>
                <w:sz w:val="17"/>
              </w:rPr>
              <w:t>elevation</w:t>
            </w:r>
          </w:p>
        </w:tc>
        <w:tc>
          <w:tcPr>
            <w:tcW w:type="dxa" w:w="2592"/>
            <w:vAlign w:val="center"/>
          </w:tcPr>
          <w:p>
            <w:pPr>
              <w:jc w:val="center"/>
            </w:pPr>
            <w:r/>
            <w:r>
              <w:rPr>
                <w:rFonts w:ascii="NanumSquare" w:hAnsi="NanumSquare" w:eastAsia="NanumSquare"/>
                <w:b w:val="0"/>
                <w:color w:val="000000"/>
                <w:sz w:val="17"/>
              </w:rPr>
              <w:t>-0.0145</w:t>
            </w:r>
          </w:p>
        </w:tc>
        <w:tc>
          <w:tcPr>
            <w:tcW w:type="dxa" w:w="9216"/>
            <w:vAlign w:val="center"/>
          </w:tcPr>
          <w:p>
            <w:pPr>
              <w:jc w:val="center"/>
            </w:pPr>
            <w:r/>
            <w:r>
              <w:rPr>
                <w:rFonts w:ascii="NanumSquare" w:hAnsi="NanumSquare" w:eastAsia="NanumSquare"/>
                <w:b w:val="0"/>
                <w:color w:val="000000"/>
                <w:sz w:val="17"/>
              </w:rPr>
              <w:t>고도 단독으로는 산불 발생 라벨과 선형 관계가 거의 없음</w:t>
            </w:r>
          </w:p>
        </w:tc>
      </w:tr>
      <w:tr>
        <w:tc>
          <w:tcPr>
            <w:tcW w:type="dxa" w:w="3168"/>
            <w:vAlign w:val="center"/>
          </w:tcPr>
          <w:p>
            <w:pPr>
              <w:jc w:val="left"/>
            </w:pPr>
            <w:r/>
            <w:r>
              <w:rPr>
                <w:rFonts w:ascii="NanumSquare" w:hAnsi="NanumSquare" w:eastAsia="NanumSquare"/>
                <w:b w:val="0"/>
                <w:color w:val="000000"/>
                <w:sz w:val="17"/>
              </w:rPr>
              <w:t>nearest_river_dist</w:t>
            </w:r>
          </w:p>
        </w:tc>
        <w:tc>
          <w:tcPr>
            <w:tcW w:type="dxa" w:w="2592"/>
            <w:vAlign w:val="center"/>
          </w:tcPr>
          <w:p>
            <w:pPr>
              <w:jc w:val="center"/>
            </w:pPr>
            <w:r/>
            <w:r>
              <w:rPr>
                <w:rFonts w:ascii="NanumSquare" w:hAnsi="NanumSquare" w:eastAsia="NanumSquare"/>
                <w:b w:val="0"/>
                <w:color w:val="000000"/>
                <w:sz w:val="17"/>
              </w:rPr>
              <w:t>-0.0140</w:t>
            </w:r>
          </w:p>
        </w:tc>
        <w:tc>
          <w:tcPr>
            <w:tcW w:type="dxa" w:w="9216"/>
            <w:vAlign w:val="center"/>
          </w:tcPr>
          <w:p>
            <w:pPr>
              <w:jc w:val="center"/>
            </w:pPr>
            <w:r/>
            <w:r>
              <w:rPr>
                <w:rFonts w:ascii="NanumSquare" w:hAnsi="NanumSquare" w:eastAsia="NanumSquare"/>
                <w:b w:val="0"/>
                <w:color w:val="000000"/>
                <w:sz w:val="17"/>
              </w:rPr>
              <w:t>하천 거리 단독 효과는 Pearson 기준 미미함</w:t>
            </w:r>
          </w:p>
        </w:tc>
      </w:tr>
      <w:tr>
        <w:tc>
          <w:tcPr>
            <w:tcW w:type="dxa" w:w="3168"/>
            <w:vAlign w:val="center"/>
          </w:tcPr>
          <w:p>
            <w:pPr>
              <w:jc w:val="left"/>
            </w:pPr>
            <w:r/>
            <w:r>
              <w:rPr>
                <w:rFonts w:ascii="NanumSquare" w:hAnsi="NanumSquare" w:eastAsia="NanumSquare"/>
                <w:b w:val="0"/>
                <w:color w:val="000000"/>
                <w:sz w:val="17"/>
              </w:rPr>
              <w:t>tree_height_code</w:t>
            </w:r>
          </w:p>
        </w:tc>
        <w:tc>
          <w:tcPr>
            <w:tcW w:type="dxa" w:w="2592"/>
            <w:vAlign w:val="center"/>
          </w:tcPr>
          <w:p>
            <w:pPr>
              <w:jc w:val="center"/>
            </w:pPr>
            <w:r/>
            <w:r>
              <w:rPr>
                <w:rFonts w:ascii="NanumSquare" w:hAnsi="NanumSquare" w:eastAsia="NanumSquare"/>
                <w:b w:val="0"/>
                <w:color w:val="000000"/>
                <w:sz w:val="17"/>
              </w:rPr>
              <w:t>-0.0122</w:t>
            </w:r>
          </w:p>
        </w:tc>
        <w:tc>
          <w:tcPr>
            <w:tcW w:type="dxa" w:w="9216"/>
            <w:vAlign w:val="center"/>
          </w:tcPr>
          <w:p>
            <w:pPr>
              <w:jc w:val="center"/>
            </w:pPr>
            <w:r/>
            <w:r>
              <w:rPr>
                <w:rFonts w:ascii="NanumSquare" w:hAnsi="NanumSquare" w:eastAsia="NanumSquare"/>
                <w:b w:val="0"/>
                <w:color w:val="000000"/>
                <w:sz w:val="17"/>
              </w:rPr>
              <w:t>수고 단독으로는 발생 여부를 설명하기 어려움</w:t>
            </w:r>
          </w:p>
        </w:tc>
      </w:tr>
      <w:tr>
        <w:tc>
          <w:tcPr>
            <w:tcW w:type="dxa" w:w="3168"/>
            <w:vAlign w:val="center"/>
          </w:tcPr>
          <w:p>
            <w:pPr>
              <w:jc w:val="left"/>
            </w:pPr>
            <w:r/>
            <w:r>
              <w:rPr>
                <w:rFonts w:ascii="NanumSquare" w:hAnsi="NanumSquare" w:eastAsia="NanumSquare"/>
                <w:b w:val="0"/>
                <w:color w:val="000000"/>
                <w:sz w:val="17"/>
              </w:rPr>
              <w:t>aspect_cos</w:t>
            </w:r>
          </w:p>
        </w:tc>
        <w:tc>
          <w:tcPr>
            <w:tcW w:type="dxa" w:w="2592"/>
            <w:vAlign w:val="center"/>
          </w:tcPr>
          <w:p>
            <w:pPr>
              <w:jc w:val="center"/>
            </w:pPr>
            <w:r/>
            <w:r>
              <w:rPr>
                <w:rFonts w:ascii="NanumSquare" w:hAnsi="NanumSquare" w:eastAsia="NanumSquare"/>
                <w:b w:val="0"/>
                <w:color w:val="000000"/>
                <w:sz w:val="17"/>
              </w:rPr>
              <w:t>+0.0084</w:t>
            </w:r>
          </w:p>
        </w:tc>
        <w:tc>
          <w:tcPr>
            <w:tcW w:type="dxa" w:w="9216"/>
            <w:vAlign w:val="center"/>
          </w:tcPr>
          <w:p>
            <w:pPr>
              <w:jc w:val="center"/>
            </w:pPr>
            <w:r/>
            <w:r>
              <w:rPr>
                <w:rFonts w:ascii="NanumSquare" w:hAnsi="NanumSquare" w:eastAsia="NanumSquare"/>
                <w:b w:val="0"/>
                <w:color w:val="000000"/>
                <w:sz w:val="17"/>
              </w:rPr>
              <w:t>사면 방향의 남북 성분과 fire_label의 선형 관계는 매우 약함</w:t>
            </w:r>
          </w:p>
        </w:tc>
      </w:tr>
      <w:tr>
        <w:tc>
          <w:tcPr>
            <w:tcW w:type="dxa" w:w="3168"/>
            <w:vAlign w:val="center"/>
          </w:tcPr>
          <w:p>
            <w:pPr>
              <w:jc w:val="left"/>
            </w:pPr>
            <w:r/>
            <w:r>
              <w:rPr>
                <w:rFonts w:ascii="NanumSquare" w:hAnsi="NanumSquare" w:eastAsia="NanumSquare"/>
                <w:b w:val="0"/>
                <w:color w:val="000000"/>
                <w:sz w:val="17"/>
              </w:rPr>
              <w:t>nearest_road_dist</w:t>
            </w:r>
          </w:p>
        </w:tc>
        <w:tc>
          <w:tcPr>
            <w:tcW w:type="dxa" w:w="2592"/>
            <w:vAlign w:val="center"/>
          </w:tcPr>
          <w:p>
            <w:pPr>
              <w:jc w:val="center"/>
            </w:pPr>
            <w:r/>
            <w:r>
              <w:rPr>
                <w:rFonts w:ascii="NanumSquare" w:hAnsi="NanumSquare" w:eastAsia="NanumSquare"/>
                <w:b w:val="0"/>
                <w:color w:val="000000"/>
                <w:sz w:val="17"/>
              </w:rPr>
              <w:t>-0.0076</w:t>
            </w:r>
          </w:p>
        </w:tc>
        <w:tc>
          <w:tcPr>
            <w:tcW w:type="dxa" w:w="9216"/>
            <w:vAlign w:val="center"/>
          </w:tcPr>
          <w:p>
            <w:pPr>
              <w:jc w:val="center"/>
            </w:pPr>
            <w:r/>
            <w:r>
              <w:rPr>
                <w:rFonts w:ascii="NanumSquare" w:hAnsi="NanumSquare" w:eastAsia="NanumSquare"/>
                <w:b w:val="0"/>
                <w:color w:val="000000"/>
                <w:sz w:val="17"/>
              </w:rPr>
              <w:t>도로 거리 단독 상관은 작지만, 접근성 변수로 모델에서는 유지 가치 있음</w:t>
            </w:r>
          </w:p>
        </w:tc>
      </w:tr>
      <w:tr>
        <w:tc>
          <w:tcPr>
            <w:tcW w:type="dxa" w:w="3168"/>
            <w:vAlign w:val="center"/>
          </w:tcPr>
          <w:p>
            <w:pPr>
              <w:jc w:val="left"/>
            </w:pPr>
            <w:r/>
            <w:r>
              <w:rPr>
                <w:rFonts w:ascii="NanumSquare" w:hAnsi="NanumSquare" w:eastAsia="NanumSquare"/>
                <w:b w:val="0"/>
                <w:color w:val="000000"/>
                <w:sz w:val="17"/>
              </w:rPr>
              <w:t>pole_count</w:t>
            </w:r>
          </w:p>
        </w:tc>
        <w:tc>
          <w:tcPr>
            <w:tcW w:type="dxa" w:w="2592"/>
            <w:vAlign w:val="center"/>
          </w:tcPr>
          <w:p>
            <w:pPr>
              <w:jc w:val="center"/>
            </w:pPr>
            <w:r/>
            <w:r>
              <w:rPr>
                <w:rFonts w:ascii="NanumSquare" w:hAnsi="NanumSquare" w:eastAsia="NanumSquare"/>
                <w:b w:val="0"/>
                <w:color w:val="000000"/>
                <w:sz w:val="17"/>
              </w:rPr>
              <w:t>+0.0063</w:t>
            </w:r>
          </w:p>
        </w:tc>
        <w:tc>
          <w:tcPr>
            <w:tcW w:type="dxa" w:w="9216"/>
            <w:vAlign w:val="center"/>
          </w:tcPr>
          <w:p>
            <w:pPr>
              <w:jc w:val="center"/>
            </w:pPr>
            <w:r/>
            <w:r>
              <w:rPr>
                <w:rFonts w:ascii="NanumSquare" w:hAnsi="NanumSquare" w:eastAsia="NanumSquare"/>
                <w:b w:val="0"/>
                <w:color w:val="000000"/>
                <w:sz w:val="17"/>
              </w:rPr>
              <w:t>전신주 수와 산불 발생 라벨의 단순 선형 상관은 거의 없음</w:t>
            </w:r>
          </w:p>
        </w:tc>
      </w:tr>
    </w:tbl>
    <w:p/>
    <w:p>
      <w:pPr>
        <w:pStyle w:val="BodyText"/>
      </w:pPr>
      <w:r>
        <w:rPr>
          <w:rFonts w:ascii="NanumSquare" w:hAnsi="NanumSquare" w:eastAsia="NanumSquare"/>
          <w:sz w:val="20"/>
        </w:rPr>
        <w:t>fire_label과 모든 정적 변수의 Pearson 상관계수가 약 -0.015~+0.008 수준에 머물렀다는 점은, 정적 공간·임상 변수 하나만으로 산불 발생 여부를 선형적으로 분리하기 어렵다는 의미이다. 이는 전처리 실패라기보다 산불 발생 라벨이 시간 가변 기상 조건과 결합되어 나타나는 희소 사건이라는 특성에 가깝다.</w:t>
      </w:r>
    </w:p>
    <w:p>
      <w:pPr>
        <w:pStyle w:val="Heading1"/>
      </w:pPr>
      <w:r>
        <w:rPr>
          <w:rFonts w:ascii="NanumSquare" w:hAnsi="NanumSquare" w:eastAsia="NanumSquare"/>
          <w:color w:val="1F4E79"/>
        </w:rPr>
        <w:t>6. 분석상 주의점</w:t>
      </w:r>
    </w:p>
    <w:p>
      <w:pPr>
        <w:pStyle w:val="ListBullet"/>
      </w:pPr>
      <w:r>
        <w:rPr>
          <w:rFonts w:ascii="NanumSquare" w:hAnsi="NanumSquare" w:eastAsia="NanumSquare"/>
          <w:sz w:val="20"/>
        </w:rPr>
        <w:t>Pearson 상관계수는 선형 관계만 측정한다. 경계값 효과, 비선형 효과, 변수 간 상호작용은 반영하지 못한다.</w:t>
      </w:r>
    </w:p>
    <w:p>
      <w:pPr>
        <w:pStyle w:val="ListBullet"/>
      </w:pPr>
      <w:r>
        <w:rPr>
          <w:rFonts w:ascii="NanumSquare" w:hAnsi="NanumSquare" w:eastAsia="NanumSquare"/>
          <w:sz w:val="20"/>
        </w:rPr>
        <w:t>forest_type_code, age_class_code, tree_height_code는 순서형·범주형 성격이 강하다. 코드값을 그대로 Pearson 상관분석에 넣으면 수치 간격이 실제 의미 간격과 다를 수 있다.</w:t>
      </w:r>
    </w:p>
    <w:p>
      <w:pPr>
        <w:pStyle w:val="ListBullet"/>
      </w:pPr>
      <w:r>
        <w:rPr>
          <w:rFonts w:ascii="NanumSquare" w:hAnsi="NanumSquare" w:eastAsia="NanumSquare"/>
          <w:sz w:val="20"/>
        </w:rPr>
        <w:t>fire_label은 희소한 이진 타겟이므로 단순 상관계수가 작게 나오는 것이 일반적이다. 이 결과만 보고 변수를 제거하면 위험하다.</w:t>
      </w:r>
    </w:p>
    <w:p>
      <w:pPr>
        <w:pStyle w:val="ListBullet"/>
      </w:pPr>
      <w:r>
        <w:rPr>
          <w:rFonts w:ascii="NanumSquare" w:hAnsi="NanumSquare" w:eastAsia="NanumSquare"/>
          <w:sz w:val="20"/>
        </w:rPr>
        <w:t>산불위험지수 체계는 기상지수(DWI), 임상지수(FMI), 지형지수(TMI), 강우효과(RNE), 일가중치가 결합되는 구조이므로 단일 정적 변수의 상관계수보다 조합 효과가 중요하다.</w:t>
      </w:r>
    </w:p>
    <w:p>
      <w:pPr>
        <w:pStyle w:val="Heading1"/>
      </w:pPr>
      <w:r>
        <w:rPr>
          <w:rFonts w:ascii="NanumSquare" w:hAnsi="NanumSquare" w:eastAsia="NanumSquare"/>
          <w:color w:val="1F4E79"/>
        </w:rPr>
        <w:t>7. 모델링 관점의 시사점</w:t>
      </w:r>
    </w:p>
    <w:tbl>
      <w:tblPr>
        <w:tblStyle w:val="TableGrid"/>
        <w:tblW w:type="auto" w:w="0"/>
        <w:jc w:val="center"/>
        <w:tblLook w:firstColumn="1" w:firstRow="1" w:lastColumn="0" w:lastRow="0" w:noHBand="0" w:noVBand="1" w:val="04A0"/>
      </w:tblPr>
      <w:tblGrid>
        <w:gridCol w:w="7625"/>
        <w:gridCol w:w="7625"/>
      </w:tblGrid>
      <w:tr>
        <w:tc>
          <w:tcPr>
            <w:tcW w:type="dxa" w:w="3024"/>
            <w:shd w:fill="1F4E79"/>
            <w:vAlign w:val="center"/>
          </w:tcPr>
          <w:p>
            <w:pPr>
              <w:jc w:val="center"/>
            </w:pPr>
            <w:r/>
            <w:r>
              <w:rPr>
                <w:rFonts w:ascii="NanumSquare" w:hAnsi="NanumSquare" w:eastAsia="NanumSquare"/>
                <w:b/>
                <w:color w:val="FFFFFF"/>
                <w:sz w:val="18"/>
              </w:rPr>
              <w:t>항목</w:t>
            </w:r>
          </w:p>
        </w:tc>
        <w:tc>
          <w:tcPr>
            <w:tcW w:type="dxa" w:w="11952"/>
            <w:shd w:fill="1F4E79"/>
            <w:vAlign w:val="center"/>
          </w:tcPr>
          <w:p>
            <w:pPr>
              <w:jc w:val="center"/>
            </w:pPr>
            <w:r/>
            <w:r>
              <w:rPr>
                <w:rFonts w:ascii="NanumSquare" w:hAnsi="NanumSquare" w:eastAsia="NanumSquare"/>
                <w:b/>
                <w:color w:val="FFFFFF"/>
                <w:sz w:val="18"/>
              </w:rPr>
              <w:t>권장 방향</w:t>
            </w:r>
          </w:p>
        </w:tc>
      </w:tr>
      <w:tr>
        <w:tc>
          <w:tcPr>
            <w:tcW w:type="dxa" w:w="3024"/>
            <w:vAlign w:val="center"/>
          </w:tcPr>
          <w:p>
            <w:pPr>
              <w:jc w:val="left"/>
            </w:pPr>
            <w:r/>
            <w:r>
              <w:rPr>
                <w:rFonts w:ascii="NanumSquare" w:hAnsi="NanumSquare" w:eastAsia="NanumSquare"/>
                <w:b w:val="0"/>
                <w:color w:val="000000"/>
                <w:sz w:val="17"/>
              </w:rPr>
              <w:t>변수 제거</w:t>
            </w:r>
          </w:p>
        </w:tc>
        <w:tc>
          <w:tcPr>
            <w:tcW w:type="dxa" w:w="11952"/>
            <w:vAlign w:val="center"/>
          </w:tcPr>
          <w:p>
            <w:pPr>
              <w:jc w:val="center"/>
            </w:pPr>
            <w:r/>
            <w:r>
              <w:rPr>
                <w:rFonts w:ascii="NanumSquare" w:hAnsi="NanumSquare" w:eastAsia="NanumSquare"/>
                <w:b w:val="0"/>
                <w:color w:val="000000"/>
                <w:sz w:val="17"/>
              </w:rPr>
              <w:t>fire_label 상관계수가 낮다는 이유만으로 정적 변수를 제거하지 않는다.</w:t>
            </w:r>
          </w:p>
        </w:tc>
      </w:tr>
      <w:tr>
        <w:tc>
          <w:tcPr>
            <w:tcW w:type="dxa" w:w="3024"/>
            <w:vAlign w:val="center"/>
          </w:tcPr>
          <w:p>
            <w:pPr>
              <w:jc w:val="left"/>
            </w:pPr>
            <w:r/>
            <w:r>
              <w:rPr>
                <w:rFonts w:ascii="NanumSquare" w:hAnsi="NanumSquare" w:eastAsia="NanumSquare"/>
                <w:b w:val="0"/>
                <w:color w:val="000000"/>
                <w:sz w:val="17"/>
              </w:rPr>
              <w:t>다중공선성</w:t>
            </w:r>
          </w:p>
        </w:tc>
        <w:tc>
          <w:tcPr>
            <w:tcW w:type="dxa" w:w="11952"/>
            <w:vAlign w:val="center"/>
          </w:tcPr>
          <w:p>
            <w:pPr>
              <w:jc w:val="center"/>
            </w:pPr>
            <w:r/>
            <w:r>
              <w:rPr>
                <w:rFonts w:ascii="NanumSquare" w:hAnsi="NanumSquare" w:eastAsia="NanumSquare"/>
                <w:b w:val="0"/>
                <w:color w:val="000000"/>
                <w:sz w:val="17"/>
              </w:rPr>
              <w:t>age_class_code와 tree_height_code는 r=0.53으로 중복 가능성이 있으나, 제거 여부는 모델 성능 및 feature importance로 판단한다.</w:t>
            </w:r>
          </w:p>
        </w:tc>
      </w:tr>
      <w:tr>
        <w:tc>
          <w:tcPr>
            <w:tcW w:type="dxa" w:w="3024"/>
            <w:vAlign w:val="center"/>
          </w:tcPr>
          <w:p>
            <w:pPr>
              <w:jc w:val="left"/>
            </w:pPr>
            <w:r/>
            <w:r>
              <w:rPr>
                <w:rFonts w:ascii="NanumSquare" w:hAnsi="NanumSquare" w:eastAsia="NanumSquare"/>
                <w:b w:val="0"/>
                <w:color w:val="000000"/>
                <w:sz w:val="17"/>
              </w:rPr>
              <w:t>범주형 처리</w:t>
            </w:r>
          </w:p>
        </w:tc>
        <w:tc>
          <w:tcPr>
            <w:tcW w:type="dxa" w:w="11952"/>
            <w:vAlign w:val="center"/>
          </w:tcPr>
          <w:p>
            <w:pPr>
              <w:jc w:val="center"/>
            </w:pPr>
            <w:r/>
            <w:r>
              <w:rPr>
                <w:rFonts w:ascii="NanumSquare" w:hAnsi="NanumSquare" w:eastAsia="NanumSquare"/>
                <w:b w:val="0"/>
                <w:color w:val="000000"/>
                <w:sz w:val="17"/>
              </w:rPr>
              <w:t>forest_type_code는 FMI 산정과 직접 연결되므로 one-hot 또는 지수화된 FMI 변수로 변환하는 방식을 비교한다.</w:t>
            </w:r>
          </w:p>
        </w:tc>
      </w:tr>
      <w:tr>
        <w:tc>
          <w:tcPr>
            <w:tcW w:type="dxa" w:w="3024"/>
            <w:vAlign w:val="center"/>
          </w:tcPr>
          <w:p>
            <w:pPr>
              <w:jc w:val="left"/>
            </w:pPr>
            <w:r/>
            <w:r>
              <w:rPr>
                <w:rFonts w:ascii="NanumSquare" w:hAnsi="NanumSquare" w:eastAsia="NanumSquare"/>
                <w:b w:val="0"/>
                <w:color w:val="000000"/>
                <w:sz w:val="17"/>
              </w:rPr>
              <w:t>비선형 모델</w:t>
            </w:r>
          </w:p>
        </w:tc>
        <w:tc>
          <w:tcPr>
            <w:tcW w:type="dxa" w:w="11952"/>
            <w:vAlign w:val="center"/>
          </w:tcPr>
          <w:p>
            <w:pPr>
              <w:jc w:val="center"/>
            </w:pPr>
            <w:r/>
            <w:r>
              <w:rPr>
                <w:rFonts w:ascii="NanumSquare" w:hAnsi="NanumSquare" w:eastAsia="NanumSquare"/>
                <w:b w:val="0"/>
                <w:color w:val="000000"/>
                <w:sz w:val="17"/>
              </w:rPr>
              <w:t>RandomForest, LightGBM, XGBoost 등 비선형 모델에서 지형·임상·기상 상호작용을 확인한다.</w:t>
            </w:r>
          </w:p>
        </w:tc>
      </w:tr>
      <w:tr>
        <w:tc>
          <w:tcPr>
            <w:tcW w:type="dxa" w:w="3024"/>
            <w:vAlign w:val="center"/>
          </w:tcPr>
          <w:p>
            <w:pPr>
              <w:jc w:val="left"/>
            </w:pPr>
            <w:r/>
            <w:r>
              <w:rPr>
                <w:rFonts w:ascii="NanumSquare" w:hAnsi="NanumSquare" w:eastAsia="NanumSquare"/>
                <w:b w:val="0"/>
                <w:color w:val="000000"/>
                <w:sz w:val="17"/>
              </w:rPr>
              <w:t>추가 검증</w:t>
            </w:r>
          </w:p>
        </w:tc>
        <w:tc>
          <w:tcPr>
            <w:tcW w:type="dxa" w:w="11952"/>
            <w:vAlign w:val="center"/>
          </w:tcPr>
          <w:p>
            <w:pPr>
              <w:jc w:val="center"/>
            </w:pPr>
            <w:r/>
            <w:r>
              <w:rPr>
                <w:rFonts w:ascii="NanumSquare" w:hAnsi="NanumSquare" w:eastAsia="NanumSquare"/>
                <w:b w:val="0"/>
                <w:color w:val="000000"/>
                <w:sz w:val="17"/>
              </w:rPr>
              <w:t>Spearman 상관, mutual information, permutation importance, SHAP 분석을 함께 수행한다.</w:t>
            </w:r>
          </w:p>
        </w:tc>
      </w:tr>
      <w:tr>
        <w:tc>
          <w:tcPr>
            <w:tcW w:type="dxa" w:w="3024"/>
            <w:vAlign w:val="center"/>
          </w:tcPr>
          <w:p>
            <w:pPr>
              <w:jc w:val="left"/>
            </w:pPr>
            <w:r/>
            <w:r>
              <w:rPr>
                <w:rFonts w:ascii="NanumSquare" w:hAnsi="NanumSquare" w:eastAsia="NanumSquare"/>
                <w:b w:val="0"/>
                <w:color w:val="000000"/>
                <w:sz w:val="17"/>
              </w:rPr>
              <w:t>시간 변수 결합</w:t>
            </w:r>
          </w:p>
        </w:tc>
        <w:tc>
          <w:tcPr>
            <w:tcW w:type="dxa" w:w="11952"/>
            <w:vAlign w:val="center"/>
          </w:tcPr>
          <w:p>
            <w:pPr>
              <w:jc w:val="center"/>
            </w:pPr>
            <w:r/>
            <w:r>
              <w:rPr>
                <w:rFonts w:ascii="NanumSquare" w:hAnsi="NanumSquare" w:eastAsia="NanumSquare"/>
                <w:b w:val="0"/>
                <w:color w:val="000000"/>
                <w:sz w:val="17"/>
              </w:rPr>
              <w:t>정적 변수보다 DWI, RNE, 실효습도, 연속 무강수일, 일가중치와 결합한 파생변수의 설명력이 더 클 가능성이 높다.</w:t>
            </w:r>
          </w:p>
        </w:tc>
      </w:tr>
    </w:tbl>
    <w:p/>
    <w:p>
      <w:pPr>
        <w:pStyle w:val="Heading1"/>
      </w:pPr>
      <w:r>
        <w:rPr>
          <w:rFonts w:ascii="NanumSquare" w:hAnsi="NanumSquare" w:eastAsia="NanumSquare"/>
          <w:color w:val="1F4E79"/>
        </w:rPr>
        <w:t>8. 결론</w:t>
      </w:r>
    </w:p>
    <w:p>
      <w:pPr>
        <w:pStyle w:val="BodyText"/>
      </w:pPr>
      <w:r>
        <w:rPr>
          <w:rFonts w:ascii="NanumSquare" w:hAnsi="NanumSquare" w:eastAsia="NanumSquare"/>
          <w:sz w:val="20"/>
        </w:rPr>
        <w:t>04_correlation 분석 결과, 정적 공간·임상 변수들 사이에는 일부 의미 있는 상관 구조가 확인되었다. 특히 age_class_code와 tree_height_code의 양의 상관, pole_count와 nearest_road_dist의 음의 상관은 데이터의 공간적·임상적 특성과 부합한다.</w:t>
      </w:r>
    </w:p>
    <w:p>
      <w:pPr>
        <w:pStyle w:val="BodyText"/>
      </w:pPr>
      <w:r>
        <w:rPr>
          <w:rFonts w:ascii="NanumSquare" w:hAnsi="NanumSquare" w:eastAsia="NanumSquare"/>
          <w:sz w:val="20"/>
        </w:rPr>
        <w:t>반면 fire_label과 개별 변수의 Pearson 상관계수는 모두 매우 작았다. 따라서 산불 발생 여부는 단일 정적 변수의 선형 효과보다 기상 조건, 강우 누적, 계절 가중치, 임상·지형 특성의 결합으로 설명해야 한다. 본 결과는 변수 제거 근거라기보다 “선형 단변량 관계가 약하므로 비선형·상호작용 기반 모델링이 필요하다”는 근거로 해석하는 것이 적절하다.</w:t>
      </w:r>
    </w:p>
    <w:p>
      <w:pPr>
        <w:pStyle w:val="Heading1"/>
      </w:pPr>
      <w:r>
        <w:rPr>
          <w:rFonts w:ascii="NanumSquare" w:hAnsi="NanumSquare" w:eastAsia="NanumSquare"/>
          <w:color w:val="1F4E79"/>
        </w:rPr>
        <w:t>부록. 분석 코드 개요</w:t>
      </w:r>
    </w:p>
    <w:p>
      <w:pPr>
        <w:pStyle w:val="BodyText"/>
      </w:pPr>
      <w:r>
        <w:rPr>
          <w:rFonts w:ascii="NanumSquare" w:hAnsi="NanumSquare" w:eastAsia="NanumSquare"/>
          <w:sz w:val="20"/>
        </w:rPr>
        <w:t>분석 스크립트는 05_fire_label_master.parquet를 불러온 뒤, 지정된 수치형 변수 목록을 float으로 변환하여 Pearson 상관계수 행렬을 계산한다. 이후 |r| &gt;= 0.3인 변수쌍을 출력하고, fire_label과 각 변수의 상관계수를 절댓값 기준으로 정렬한다. 마지막으로 전체 히트맵과 fire_label 기준 바 차트를 하나의 Figure로 저장한다.</w:t>
      </w:r>
    </w:p>
    <w:sectPr w:rsidR="00FC693F" w:rsidRPr="0006063C" w:rsidSect="00034616">
      <w:foot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Square" w:hAnsi="NanumSquare" w:eastAsia="NanumSquare"/>
        <w:color w:val="808080"/>
        <w:sz w:val="16"/>
      </w:rPr>
      <w:t>04_correlation 시각화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Square" w:hAnsi="NanumSquare" w:eastAsia="NanumSquare"/>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20"/>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