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Cadence Table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Companion worksheet for chapter 6 (Cadence). Replace bracketed fields, delete guidance in italics. Statements referenced: C1 to C7. The framework requires that this table exist and that frequency scale with tier. Every value is the program's own; nothing here is a benchmark.</w:t>
      </w:r>
    </w:p>
    <w:p>
      <w:pPr>
        <w:spacing w:after="140"/>
      </w:pPr>
      <w:r>
        <w:rPr>
          <w:b/>
          <w:bCs/>
          <w:i w:val="false"/>
          <w:iCs w:val="false"/>
        </w:rPr>
        <w:t xml:space="preserve">Organization:</w:t>
      </w:r>
      <w:r>
        <w:rPr>
          <w:b w:val="false"/>
          <w:bCs w:val="false"/>
          <w:i w:val="false"/>
          <w:iCs w:val="false"/>
        </w:rPr>
        <w:t xml:space="preserve"> [name]  </w:t>
      </w:r>
      <w:r>
        <w:rPr>
          <w:b/>
          <w:bCs/>
          <w:i w:val="false"/>
          <w:iCs w:val="false"/>
        </w:rPr>
        <w:t xml:space="preserve">Version:</w:t>
      </w:r>
      <w:r>
        <w:rPr>
          <w:b w:val="false"/>
          <w:bCs w:val="false"/>
          <w:i w:val="false"/>
          <w:iCs w:val="false"/>
        </w:rPr>
        <w:t xml:space="preserve"> [n]  </w:t>
      </w:r>
      <w:r>
        <w:rPr>
          <w:b/>
          <w:bCs/>
          <w:i w:val="false"/>
          <w:iCs w:val="false"/>
        </w:rPr>
        <w:t xml:space="preserve">Date:</w:t>
      </w:r>
      <w:r>
        <w:rPr>
          <w:b w:val="false"/>
          <w:bCs w:val="false"/>
          <w:i w:val="false"/>
          <w:iCs w:val="false"/>
        </w:rPr>
        <w:t xml:space="preserve"> [date]  </w:t>
      </w:r>
      <w:r>
        <w:rPr>
          <w:b/>
          <w:bCs/>
          <w:i w:val="false"/>
          <w:iCs w:val="false"/>
        </w:rPr>
        <w:t xml:space="preserve">Owner:</w:t>
      </w:r>
      <w:r>
        <w:rPr>
          <w:b w:val="false"/>
          <w:bCs w:val="false"/>
          <w:i w:val="false"/>
          <w:iCs w:val="false"/>
        </w:rPr>
        <w:t xml:space="preserve"> [role]</w:t>
      </w:r>
    </w:p>
    <w:p>
      <w:pPr>
        <w:pStyle w:val="Heading2"/>
      </w:pPr>
      <w:r>
        <w:t xml:space="preserve">1. Certification frequency (C1)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Rows are identity populations; add rows to match your scope register.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26"/>
        <w:gridCol w:w="1478"/>
        <w:gridCol w:w="1478"/>
        <w:gridCol w:w="1478"/>
      </w:tblGrid>
      <w:tr>
        <w:trPr>
          <w:tblHeader/>
        </w:trPr>
        <w:tc>
          <w:tcPr>
            <w:tcW w:type="dxa" w:w="4926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Population</w:t>
            </w:r>
          </w:p>
        </w:tc>
        <w:tc>
          <w:tcPr>
            <w:tcW w:type="dxa" w:w="1478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Tier 1</w:t>
            </w:r>
          </w:p>
        </w:tc>
        <w:tc>
          <w:tcPr>
            <w:tcW w:type="dxa" w:w="1478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Tier 2</w:t>
            </w:r>
          </w:p>
        </w:tc>
        <w:tc>
          <w:tcPr>
            <w:tcW w:type="dxa" w:w="1478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Tier 3</w:t>
            </w:r>
          </w:p>
        </w:tc>
      </w:tr>
      <w:tr>
        <w:trPr>
          <w:tblHeader w:val="false"/>
        </w:trPr>
        <w:tc>
          <w:tcPr>
            <w:tcW w:type="dxa" w:w="4926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Employees</w:t>
            </w:r>
          </w:p>
        </w:tc>
        <w:tc>
          <w:tcPr>
            <w:tcW w:type="dxa" w:w="14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4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4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4926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Contractors</w:t>
            </w:r>
          </w:p>
        </w:tc>
        <w:tc>
          <w:tcPr>
            <w:tcW w:type="dxa" w:w="14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4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4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4926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External identities</w:t>
            </w:r>
          </w:p>
        </w:tc>
        <w:tc>
          <w:tcPr>
            <w:tcW w:type="dxa" w:w="14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4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4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4926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Non-human identities</w:t>
            </w:r>
          </w:p>
        </w:tc>
        <w:tc>
          <w:tcPr>
            <w:tcW w:type="dxa" w:w="14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4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4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4926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Privileged access</w:t>
            </w:r>
          </w:p>
        </w:tc>
        <w:tc>
          <w:tcPr>
            <w:tcW w:type="dxa" w:w="14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4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14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2. Expiry defaults (C2)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Time-bounded access is the default for these categories, with renewal requiring re-justification. Where standing access is granted instead, record the rationale.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78"/>
        <w:gridCol w:w="1702"/>
        <w:gridCol w:w="4680"/>
      </w:tblGrid>
      <w:tr>
        <w:trPr>
          <w:tblHeader/>
        </w:trPr>
        <w:tc>
          <w:tcPr>
            <w:tcW w:type="dxa" w:w="2978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Category</w:t>
            </w:r>
          </w:p>
        </w:tc>
        <w:tc>
          <w:tcPr>
            <w:tcW w:type="dxa" w:w="1702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Default term</w:t>
            </w:r>
          </w:p>
        </w:tc>
        <w:tc>
          <w:tcPr>
            <w:tcW w:type="dxa" w:w="4680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Standing access rationale, if any</w:t>
            </w:r>
          </w:p>
        </w:tc>
      </w:tr>
      <w:tr>
        <w:trPr>
          <w:tblHeader w:val="false"/>
        </w:trPr>
        <w:tc>
          <w:tcPr>
            <w:tcW w:type="dxa" w:w="29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Privileged access</w:t>
            </w:r>
          </w:p>
        </w:tc>
        <w:tc>
          <w:tcPr>
            <w:tcW w:type="dxa" w:w="1702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29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Exceptions</w:t>
            </w:r>
          </w:p>
        </w:tc>
        <w:tc>
          <w:tcPr>
            <w:tcW w:type="dxa" w:w="1702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29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External identities</w:t>
            </w:r>
          </w:p>
        </w:tc>
        <w:tc>
          <w:tcPr>
            <w:tcW w:type="dxa" w:w="1702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2978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Non-human credentials</w:t>
            </w:r>
          </w:p>
        </w:tc>
        <w:tc>
          <w:tcPr>
            <w:tcW w:type="dxa" w:w="1702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  <w:tc>
          <w:tcPr>
            <w:tcW w:type="dxa" w:w="4680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3. Event triggers (C3)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Each event triggers out-of-cycle review of the access it affects, with a bound on how fast the review starts.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94"/>
        <w:gridCol w:w="4566"/>
      </w:tblGrid>
      <w:tr>
        <w:trPr>
          <w:tblHeader/>
        </w:trPr>
        <w:tc>
          <w:tcPr>
            <w:tcW w:type="dxa" w:w="4794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Event</w:t>
            </w:r>
          </w:p>
        </w:tc>
        <w:tc>
          <w:tcPr>
            <w:tcW w:type="dxa" w:w="4566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Review starts within</w:t>
            </w:r>
          </w:p>
        </w:tc>
      </w:tr>
      <w:tr>
        <w:trPr>
          <w:tblHeader w:val="false"/>
        </w:trPr>
        <w:tc>
          <w:tcPr>
            <w:tcW w:type="dxa" w:w="479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Role change</w:t>
            </w:r>
          </w:p>
        </w:tc>
        <w:tc>
          <w:tcPr>
            <w:tcW w:type="dxa" w:w="4566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479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Departure</w:t>
            </w:r>
          </w:p>
        </w:tc>
        <w:tc>
          <w:tcPr>
            <w:tcW w:type="dxa" w:w="4566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479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Security incident</w:t>
            </w:r>
          </w:p>
        </w:tc>
        <w:tc>
          <w:tcPr>
            <w:tcW w:type="dxa" w:w="4566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4794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Organizational change</w:t>
            </w:r>
          </w:p>
        </w:tc>
        <w:tc>
          <w:tcPr>
            <w:tcW w:type="dxa" w:w="4566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4. Decision time bounds (C4)</w:t>
      </w:r>
    </w:p>
    <w:p>
      <w:pPr>
        <w:spacing w:after="140"/>
      </w:pPr>
      <w:r>
        <w:rPr>
          <w:b w:val="false"/>
          <w:bCs w:val="false"/>
          <w:i/>
          <w:iCs/>
        </w:rPr>
        <w:t xml:space="preserve">Breaches surface to the owner; a pattern of breaches surfaces to the accountable body.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877"/>
        <w:gridCol w:w="3483"/>
      </w:tblGrid>
      <w:tr>
        <w:trPr>
          <w:tblHeader/>
        </w:trPr>
        <w:tc>
          <w:tcPr>
            <w:tcW w:type="dxa" w:w="5877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Decision type</w:t>
            </w:r>
          </w:p>
        </w:tc>
        <w:tc>
          <w:tcPr>
            <w:tcW w:type="dxa" w:w="3483"/>
            <w:shd w:fill="F1F4F6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/>
                <w:bCs/>
                <w:i w:val="false"/>
                <w:iCs w:val="false"/>
              </w:rPr>
              <w:t xml:space="preserve">Maximum duration</w:t>
            </w:r>
          </w:p>
        </w:tc>
      </w:tr>
      <w:tr>
        <w:trPr>
          <w:tblHeader w:val="false"/>
        </w:trPr>
        <w:tc>
          <w:tcPr>
            <w:tcW w:type="dxa" w:w="587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Request approval, per stage</w:t>
            </w:r>
          </w:p>
        </w:tc>
        <w:tc>
          <w:tcPr>
            <w:tcW w:type="dxa" w:w="348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587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Revocation execution</w:t>
            </w:r>
          </w:p>
        </w:tc>
        <w:tc>
          <w:tcPr>
            <w:tcW w:type="dxa" w:w="348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  <w:tr>
        <w:trPr>
          <w:tblHeader w:val="false"/>
        </w:trPr>
        <w:tc>
          <w:tcPr>
            <w:tcW w:type="dxa" w:w="5877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>
            <w:r>
              <w:rPr>
                <w:b w:val="false"/>
                <w:bCs w:val="false"/>
                <w:i w:val="false"/>
                <w:iCs w:val="false"/>
              </w:rPr>
              <w:t xml:space="preserve">Escalation resolution</w:t>
            </w:r>
          </w:p>
        </w:tc>
        <w:tc>
          <w:tcPr>
            <w:tcW w:type="dxa" w:w="3483"/>
            <w:tcMar>
              <w:top w:type="dxa" w:w="80"/>
              <w:left w:type="dxa" w:w="110"/>
              <w:bottom w:type="dxa" w:w="80"/>
              <w:right w:type="dxa" w:w="110"/>
            </w:tcMar>
            <w:vAlign w:val="top"/>
          </w:tcPr>
          <w:p/>
        </w:tc>
      </w:tr>
    </w:tbl>
    <w:p>
      <w:pPr>
        <w:spacing w:after="160"/>
      </w:pPr>
    </w:p>
    <w:p>
      <w:pPr>
        <w:pStyle w:val="Heading2"/>
      </w:pPr>
      <w:r>
        <w:t xml:space="preserve">5. Measurement windows (C5)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Window per metric, held constant across reporting cycles: [windows, adopted from the measurement module]. A change to a window is versioned like a change to scope.</w:t>
      </w:r>
    </w:p>
    <w:p>
      <w:pPr>
        <w:pStyle w:val="Heading2"/>
      </w:pPr>
      <w:r>
        <w:t xml:space="preserve">6. Reporting cycle (C6)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Reports to [accountable body, from the charter] every [cycle], content framed as risk movement against the mandate.</w:t>
      </w:r>
    </w:p>
    <w:p>
      <w:pPr>
        <w:pStyle w:val="Heading2"/>
      </w:pPr>
      <w:r>
        <w:t xml:space="preserve">7. This table's own review (C7)</w:t>
      </w:r>
    </w:p>
    <w:p>
      <w:pPr>
        <w:spacing w:after="140"/>
      </w:pPr>
      <w:r>
        <w:rPr>
          <w:b w:val="false"/>
          <w:bCs w:val="false"/>
          <w:i w:val="false"/>
          <w:iCs w:val="false"/>
        </w:rPr>
        <w:t xml:space="preserve">Revisited every [cycle, at most annual] and on the same triggers as tiering (chapter 4, P5).</w:t>
      </w:r>
    </w:p>
    <w:p>
      <w:pPr>
        <w:pBdr>
          <w:bottom w:val="single" w:color="C9CFD6" w:sz="6"/>
        </w:pBdr>
        <w:spacing w:after="200" w:before="200"/>
      </w:pPr>
    </w:p>
    <w:p>
      <w:pPr>
        <w:spacing w:after="140"/>
      </w:pPr>
      <w:r>
        <w:rPr>
          <w:b w:val="false"/>
          <w:bCs w:val="false"/>
          <w:i/>
          <w:iCs/>
        </w:rPr>
        <w:t xml:space="preserve">Companion artifact, Open IGA Operating Framework, v0.1. Non-normative; where this worksheet and the core diverge, the core governs. Licensed under CC BY 4.0.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460" w:hanging="23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1272E"/>
        <w:sz w:val="21"/>
        <w:szCs w:val="21"/>
      </w:rPr>
    </w:rPrDefault>
    <w:pPrDefault>
      <w:pPr>
        <w:spacing w:line="276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keepNext/>
      <w:spacing w:after="200" w:before="120"/>
      <w:outlineLvl w:val="0"/>
    </w:pPr>
    <w:rPr>
      <w:rFonts w:ascii="Georgia" w:cs="Georgia" w:eastAsia="Georgia" w:hAnsi="Georgia"/>
      <w:b/>
      <w:bCs/>
      <w:color w:val="21272E"/>
      <w:sz w:val="32"/>
      <w:szCs w:val="32"/>
    </w:rPr>
  </w:style>
  <w:style w:type="paragraph" w:styleId="Heading2">
    <w:name w:val="Heading 2"/>
    <w:basedOn w:val="Normal"/>
    <w:next w:val="Normal"/>
    <w:pPr>
      <w:keepNext/>
      <w:spacing w:after="120" w:before="240"/>
      <w:outlineLvl w:val="1"/>
    </w:pPr>
    <w:rPr>
      <w:rFonts w:ascii="Georgia" w:cs="Georgia" w:eastAsia="Georgia" w:hAnsi="Georgia"/>
      <w:b/>
      <w:bCs/>
      <w:color w:val="0E7C6B"/>
      <w:sz w:val="25"/>
      <w:szCs w:val="25"/>
    </w:rPr>
  </w:style>
  <w:style w:type="paragraph" w:styleId="Heading3">
    <w:name w:val="Heading 3"/>
    <w:basedOn w:val="Normal"/>
    <w:next w:val="Normal"/>
    <w:pPr>
      <w:keepNext/>
      <w:spacing w:after="100" w:before="180"/>
      <w:outlineLvl w:val="2"/>
    </w:pPr>
    <w:rPr>
      <w:rFonts w:ascii="Georgia" w:cs="Georgia" w:eastAsia="Georgia" w:hAnsi="Georgia"/>
      <w:b/>
      <w:bCs/>
      <w:color w:val="5B6572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2026-07-07T19:21:01.364Z</dcterms:created>
  <dcterms:modified xsi:type="dcterms:W3CDTF">2026-07-07T19:21:01.364Z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