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Certification Campaign Design Checklist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Companion worksheet for chapter 5 (Process). Use before, during, and after each campaign. Statements referenced: PR4, PR5, C1, C3, C6. Failure mode watched: chapter 5, F3.</w:t>
      </w:r>
    </w:p>
    <w:p>
      <w:pPr>
        <w:spacing w:after="140"/>
      </w:pPr>
      <w:r>
        <w:rPr>
          <w:b/>
          <w:bCs/>
          <w:i w:val="false"/>
          <w:iCs w:val="false"/>
        </w:rPr>
        <w:t xml:space="preserve">Campaign:</w:t>
      </w:r>
      <w:r>
        <w:rPr>
          <w:b w:val="false"/>
          <w:bCs w:val="false"/>
          <w:i w:val="false"/>
          <w:iCs w:val="false"/>
        </w:rPr>
        <w:t xml:space="preserve"> [name]  </w:t>
      </w:r>
      <w:r>
        <w:rPr>
          <w:b/>
          <w:bCs/>
          <w:i w:val="false"/>
          <w:iCs w:val="false"/>
        </w:rPr>
        <w:t xml:space="preserve">Tier(s):</w:t>
      </w:r>
      <w:r>
        <w:rPr>
          <w:b w:val="false"/>
          <w:bCs w:val="false"/>
          <w:i w:val="false"/>
          <w:iCs w:val="false"/>
        </w:rPr>
        <w:t xml:space="preserve"> [tiers]  </w:t>
      </w:r>
      <w:r>
        <w:rPr>
          <w:b/>
          <w:bCs/>
          <w:i w:val="false"/>
          <w:iCs w:val="false"/>
        </w:rPr>
        <w:t xml:space="preserve">Owner:</w:t>
      </w:r>
      <w:r>
        <w:rPr>
          <w:b w:val="false"/>
          <w:bCs w:val="false"/>
          <w:i w:val="false"/>
          <w:iCs w:val="false"/>
        </w:rPr>
        <w:t xml:space="preserve"> [role]  </w:t>
      </w:r>
      <w:r>
        <w:rPr>
          <w:b/>
          <w:bCs/>
          <w:i w:val="false"/>
          <w:iCs w:val="false"/>
        </w:rPr>
        <w:t xml:space="preserve">Dates:</w:t>
      </w:r>
      <w:r>
        <w:rPr>
          <w:b w:val="false"/>
          <w:bCs w:val="false"/>
          <w:i w:val="false"/>
          <w:iCs w:val="false"/>
        </w:rPr>
        <w:t xml:space="preserve"> [start to end]</w:t>
      </w:r>
    </w:p>
    <w:p>
      <w:pPr>
        <w:pStyle w:val="Heading2"/>
      </w:pPr>
      <w:r>
        <w:t xml:space="preserve">Before launch (PR4, C1, C3)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Campaign scope ties to the tier register, and frequency comes from the cadence table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Trigger is recorded: calendar cycle or event (role change, departure, incident, organizational change)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Each certifier will see, per item: what the entitlement does, when it was last used, the justification on record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Bulk approval is constrained; where permitted, it is logged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Escalation for non-response is defined with a time bound</w:t>
      </w:r>
    </w:p>
    <w:p>
      <w:pPr>
        <w:pStyle w:val="Heading2"/>
      </w:pPr>
      <w:r>
        <w:t xml:space="preserve">During (PR4)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Bulk approvals are being logged and counted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Non-responses are escalating on the defined bound</w:t>
      </w:r>
    </w:p>
    <w:p>
      <w:pPr>
        <w:pStyle w:val="Heading2"/>
      </w:pPr>
      <w:r>
        <w:t xml:space="preserve">After close (PR5, C6, F3 watch)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Every denial produced a revocation with a time bound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Revocations verified in target systems by re-check, and the record shows it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Campaign quality signals reviewed: approval rate, median decision time per item, bulk approval count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Signals reported on the fixed reporting cycle as risk movement, alongside completion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Reading the quality signals: approval rates approaching one hundred percent with decision times of seconds per item are the observable signal of rubber-stamping (chapter 5, F3). Completion percentage alone reports activity, and the mandate reports risk (chapter 1, M2).</w:t>
      </w:r>
    </w:p>
    <w:p>
      <w:pPr>
        <w:pBdr>
          <w:bottom w:val="single" w:color="C9CFD6" w:sz="6"/>
        </w:pBdr>
        <w:spacing w:after="200" w:before="200"/>
      </w:pPr>
    </w:p>
    <w:p>
      <w:pPr>
        <w:spacing w:after="140"/>
      </w:pPr>
      <w:r>
        <w:rPr>
          <w:b w:val="false"/>
          <w:bCs w:val="false"/>
          <w:i/>
          <w:iCs/>
        </w:rPr>
        <w:t xml:space="preserve">Companion artifact, Open IGA Operating Framework, v0.1. Non-normative; where this worksheet and the core diverge, the core governs. Licensed under CC BY 4.0.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272E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after="200" w:before="120"/>
      <w:outlineLvl w:val="0"/>
    </w:pPr>
    <w:rPr>
      <w:rFonts w:ascii="Georgia" w:cs="Georgia" w:eastAsia="Georgia" w:hAnsi="Georgia"/>
      <w:b/>
      <w:bCs/>
      <w:color w:val="21272E"/>
      <w:sz w:val="32"/>
      <w:szCs w:val="32"/>
    </w:rPr>
  </w:style>
  <w:style w:type="paragraph" w:styleId="Heading2">
    <w:name w:val="Heading 2"/>
    <w:basedOn w:val="Normal"/>
    <w:next w:val="Normal"/>
    <w:pPr>
      <w:keepNext/>
      <w:spacing w:after="120" w:before="240"/>
      <w:outlineLvl w:val="1"/>
    </w:pPr>
    <w:rPr>
      <w:rFonts w:ascii="Georgia" w:cs="Georgia" w:eastAsia="Georgia" w:hAnsi="Georgia"/>
      <w:b/>
      <w:bCs/>
      <w:color w:val="0E7C6B"/>
      <w:sz w:val="25"/>
      <w:szCs w:val="25"/>
    </w:rPr>
  </w:style>
  <w:style w:type="paragraph" w:styleId="Heading3">
    <w:name w:val="Heading 3"/>
    <w:basedOn w:val="Normal"/>
    <w:next w:val="Normal"/>
    <w:pPr>
      <w:keepNext/>
      <w:spacing w:after="100" w:before="180"/>
      <w:outlineLvl w:val="2"/>
    </w:pPr>
    <w:rPr>
      <w:rFonts w:ascii="Georgia" w:cs="Georgia" w:eastAsia="Georgia" w:hAnsi="Georgia"/>
      <w:b/>
      <w:bCs/>
      <w:color w:val="5B657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2026-07-07T19:21:01.177Z</dcterms:created>
  <dcterms:modified xsi:type="dcterms:W3CDTF">2026-07-07T19:21:01.177Z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