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Platform Capability Checklist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Companion worksheet, non-normative. Fifteen tool-agnostic capabilities derived from the core and the metrics specification. Any platform or combination of platforms satisfying these can run the framework; none of them names a vendor. Use it to evaluate an incumbent stack or a candidate one, and record how each capability is met or compensated.</w:t>
      </w:r>
    </w:p>
    <w:p>
      <w:pPr>
        <w:spacing w:after="140"/>
      </w:pPr>
      <w:r>
        <w:rPr>
          <w:b/>
          <w:bCs/>
          <w:i w:val="false"/>
          <w:iCs w:val="false"/>
        </w:rPr>
        <w:t xml:space="preserve">Organization:</w:t>
      </w:r>
      <w:r>
        <w:rPr>
          <w:b w:val="false"/>
          <w:bCs w:val="false"/>
          <w:i w:val="false"/>
          <w:iCs w:val="false"/>
        </w:rPr>
        <w:t xml:space="preserve"> [name]  </w:t>
      </w:r>
      <w:r>
        <w:rPr>
          <w:b/>
          <w:bCs/>
          <w:i w:val="false"/>
          <w:iCs w:val="false"/>
        </w:rPr>
        <w:t xml:space="preserve">Platform(s) evaluated:</w:t>
      </w:r>
      <w:r>
        <w:rPr>
          <w:b w:val="false"/>
          <w:bCs w:val="false"/>
          <w:i w:val="false"/>
          <w:iCs w:val="false"/>
        </w:rPr>
        <w:t xml:space="preserve"> [names]  </w:t>
      </w:r>
      <w:r>
        <w:rPr>
          <w:b/>
          <w:bCs/>
          <w:i w:val="false"/>
          <w:iCs w:val="false"/>
        </w:rPr>
        <w:t xml:space="preserve">Date:</w:t>
      </w:r>
      <w:r>
        <w:rPr>
          <w:b w:val="false"/>
          <w:bCs w:val="false"/>
          <w:i w:val="false"/>
          <w:iCs w:val="false"/>
        </w:rPr>
        <w:t xml:space="preserve"> [date]  </w:t>
      </w:r>
      <w:r>
        <w:rPr>
          <w:b/>
          <w:bCs/>
          <w:i w:val="false"/>
          <w:iCs w:val="false"/>
        </w:rPr>
        <w:t xml:space="preserve">Assessor:</w:t>
      </w:r>
      <w:r>
        <w:rPr>
          <w:b w:val="false"/>
          <w:bCs w:val="false"/>
          <w:i w:val="false"/>
          <w:iCs w:val="false"/>
        </w:rPr>
        <w:t xml:space="preserve"> [role]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167"/>
        <w:gridCol w:w="1988"/>
        <w:gridCol w:w="1905"/>
      </w:tblGrid>
      <w:tr>
        <w:trPr>
          <w:tblHeader/>
        </w:trPr>
        <w:tc>
          <w:tcPr>
            <w:tcW w:type="dxa" w:w="130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#</w:t>
            </w:r>
          </w:p>
        </w:tc>
        <w:tc>
          <w:tcPr>
            <w:tcW w:type="dxa" w:w="4167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Capability</w:t>
            </w:r>
          </w:p>
        </w:tc>
        <w:tc>
          <w:tcPr>
            <w:tcW w:type="dxa" w:w="1988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Derived from</w:t>
            </w:r>
          </w:p>
        </w:tc>
        <w:tc>
          <w:tcPr>
            <w:tcW w:type="dxa" w:w="1905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Met / compensated / gap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1</w:t>
            </w:r>
          </w:p>
        </w:tc>
        <w:tc>
          <w:tcPr>
            <w:tcW w:type="dxa" w:w="416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Consumes lifecycle events from authoritative sources, including leave, return, rehire, and conversion signals</w:t>
            </w:r>
          </w:p>
        </w:tc>
        <w:tc>
          <w:tcPr>
            <w:tcW w:type="dxa" w:w="198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S4; PR1, PR8</w:t>
            </w:r>
          </w:p>
        </w:tc>
        <w:tc>
          <w:tcPr>
            <w:tcW w:type="dxa" w:w="1905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416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Applies a precedence rule where identity sources conflict</w:t>
            </w:r>
          </w:p>
        </w:tc>
        <w:tc>
          <w:tcPr>
            <w:tcW w:type="dxa" w:w="198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S4</w:t>
            </w:r>
          </w:p>
        </w:tc>
        <w:tc>
          <w:tcPr>
            <w:tcW w:type="dxa" w:w="1905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3</w:t>
            </w:r>
          </w:p>
        </w:tc>
        <w:tc>
          <w:tcPr>
            <w:tcW w:type="dxa" w:w="416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Reproduces the in-scope inventory per resource class on request</w:t>
            </w:r>
          </w:p>
        </w:tc>
        <w:tc>
          <w:tcPr>
            <w:tcW w:type="dxa" w:w="198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S2</w:t>
            </w:r>
          </w:p>
        </w:tc>
        <w:tc>
          <w:tcPr>
            <w:tcW w:type="dxa" w:w="1905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16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Governs at entitlement granularity where the scope register requires it</w:t>
            </w:r>
          </w:p>
        </w:tc>
        <w:tc>
          <w:tcPr>
            <w:tcW w:type="dxa" w:w="198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S3</w:t>
            </w:r>
          </w:p>
        </w:tc>
        <w:tc>
          <w:tcPr>
            <w:tcW w:type="dxa" w:w="1905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5</w:t>
            </w:r>
          </w:p>
        </w:tc>
        <w:tc>
          <w:tcPr>
            <w:tcW w:type="dxa" w:w="416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Maintains a registry of non-human identities with a human owner per entry</w:t>
            </w:r>
          </w:p>
        </w:tc>
        <w:tc>
          <w:tcPr>
            <w:tcW w:type="dxa" w:w="198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S7; O7</w:t>
            </w:r>
          </w:p>
        </w:tc>
        <w:tc>
          <w:tcPr>
            <w:tcW w:type="dxa" w:w="1905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6</w:t>
            </w:r>
          </w:p>
        </w:tc>
        <w:tc>
          <w:tcPr>
            <w:tcW w:type="dxa" w:w="416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Runs the request path with an approval chain by tier and a time bound per stage</w:t>
            </w:r>
          </w:p>
        </w:tc>
        <w:tc>
          <w:tcPr>
            <w:tcW w:type="dxa" w:w="198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PR3; P2, C4</w:t>
            </w:r>
          </w:p>
        </w:tc>
        <w:tc>
          <w:tcPr>
            <w:tcW w:type="dxa" w:w="1905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7</w:t>
            </w:r>
          </w:p>
        </w:tc>
        <w:tc>
          <w:tcPr>
            <w:tcW w:type="dxa" w:w="416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Detects provisioning outside the request path by reconciliation</w:t>
            </w:r>
          </w:p>
        </w:tc>
        <w:tc>
          <w:tcPr>
            <w:tcW w:type="dxa" w:w="198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PR3</w:t>
            </w:r>
          </w:p>
        </w:tc>
        <w:tc>
          <w:tcPr>
            <w:tcW w:type="dxa" w:w="1905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8</w:t>
            </w:r>
          </w:p>
        </w:tc>
        <w:tc>
          <w:tcPr>
            <w:tcW w:type="dxa" w:w="416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Presents certifiers with entitlement description, last use, and recorded justification</w:t>
            </w:r>
          </w:p>
        </w:tc>
        <w:tc>
          <w:tcPr>
            <w:tcW w:type="dxa" w:w="198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PR4</w:t>
            </w:r>
          </w:p>
        </w:tc>
        <w:tc>
          <w:tcPr>
            <w:tcW w:type="dxa" w:w="1905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9</w:t>
            </w:r>
          </w:p>
        </w:tc>
        <w:tc>
          <w:tcPr>
            <w:tcW w:type="dxa" w:w="416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Constrains bulk approval, and logs it where permitted</w:t>
            </w:r>
          </w:p>
        </w:tc>
        <w:tc>
          <w:tcPr>
            <w:tcW w:type="dxa" w:w="198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PR4</w:t>
            </w:r>
          </w:p>
        </w:tc>
        <w:tc>
          <w:tcPr>
            <w:tcW w:type="dxa" w:w="1905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  <w:tc>
          <w:tcPr>
            <w:tcW w:type="dxa" w:w="416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Executes revocation with verification of removal in the target system</w:t>
            </w:r>
          </w:p>
        </w:tc>
        <w:tc>
          <w:tcPr>
            <w:tcW w:type="dxa" w:w="198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PR5</w:t>
            </w:r>
          </w:p>
        </w:tc>
        <w:tc>
          <w:tcPr>
            <w:tcW w:type="dxa" w:w="1905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11</w:t>
            </w:r>
          </w:p>
        </w:tc>
        <w:tc>
          <w:tcPr>
            <w:tcW w:type="dxa" w:w="416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Maintains an exception register with expiry and owner per entry</w:t>
            </w:r>
          </w:p>
        </w:tc>
        <w:tc>
          <w:tcPr>
            <w:tcW w:type="dxa" w:w="198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PR6</w:t>
            </w:r>
          </w:p>
        </w:tc>
        <w:tc>
          <w:tcPr>
            <w:tcW w:type="dxa" w:w="1905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12</w:t>
            </w:r>
          </w:p>
        </w:tc>
        <w:tc>
          <w:tcPr>
            <w:tcW w:type="dxa" w:w="416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Triggers out-of-cycle review on role change, departure, incident, and organizational change</w:t>
            </w:r>
          </w:p>
        </w:tc>
        <w:tc>
          <w:tcPr>
            <w:tcW w:type="dxa" w:w="198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C3</w:t>
            </w:r>
          </w:p>
        </w:tc>
        <w:tc>
          <w:tcPr>
            <w:tcW w:type="dxa" w:w="1905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13</w:t>
            </w:r>
          </w:p>
        </w:tc>
        <w:tc>
          <w:tcPr>
            <w:tcW w:type="dxa" w:w="416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Records grant, revocation, and certification decision timestamps, and campaign completion dates</w:t>
            </w:r>
          </w:p>
        </w:tc>
        <w:tc>
          <w:tcPr>
            <w:tcW w:type="dxa" w:w="198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MS6; part III data model</w:t>
            </w:r>
          </w:p>
        </w:tc>
        <w:tc>
          <w:tcPr>
            <w:tcW w:type="dxa" w:w="1905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14</w:t>
            </w:r>
          </w:p>
        </w:tc>
        <w:tc>
          <w:tcPr>
            <w:tcW w:type="dxa" w:w="416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Computes or exports the data for metrics over declared, constant windows</w:t>
            </w:r>
          </w:p>
        </w:tc>
        <w:tc>
          <w:tcPr>
            <w:tcW w:type="dxa" w:w="198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MS1 to MS4</w:t>
            </w:r>
          </w:p>
        </w:tc>
        <w:tc>
          <w:tcPr>
            <w:tcW w:type="dxa" w:w="1905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15</w:t>
            </w:r>
          </w:p>
        </w:tc>
        <w:tc>
          <w:tcPr>
            <w:tcW w:type="dxa" w:w="416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Records delegations of approval authority as time-bounded and revocable</w:t>
            </w:r>
          </w:p>
        </w:tc>
        <w:tc>
          <w:tcPr>
            <w:tcW w:type="dxa" w:w="198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O6</w:t>
            </w:r>
          </w:p>
        </w:tc>
        <w:tc>
          <w:tcPr>
            <w:tcW w:type="dxa" w:w="1905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spacing w:after="160"/>
      </w:pPr>
    </w:p>
    <w:p>
      <w:pPr>
        <w:spacing w:after="140"/>
      </w:pPr>
      <w:r>
        <w:rPr>
          <w:b w:val="false"/>
          <w:bCs w:val="false"/>
          <w:i/>
          <w:iCs/>
        </w:rPr>
        <w:t xml:space="preserve">Where a capability is met by a compensating process rather than the platform, record the process and its owner. A gap with no compensation is scope the program cannot govern yet, and it belongs in the tier-sequenced backlog (chapter 4).</w:t>
      </w:r>
    </w:p>
    <w:p>
      <w:pPr>
        <w:pBdr>
          <w:bottom w:val="single" w:color="C9CFD6" w:sz="6"/>
        </w:pBdr>
        <w:spacing w:after="200" w:before="200"/>
      </w:pPr>
    </w:p>
    <w:p>
      <w:pPr>
        <w:spacing w:after="140"/>
      </w:pPr>
      <w:r>
        <w:rPr>
          <w:b w:val="false"/>
          <w:bCs w:val="false"/>
          <w:i/>
          <w:iCs/>
        </w:rPr>
        <w:t xml:space="preserve">Companion artifact, Open IGA Operating Framework, v0.1. Non-normative; where this worksheet and the core diverge, the core governs. Licensed under CC BY 4.0.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3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1272E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spacing w:after="200" w:before="120"/>
      <w:outlineLvl w:val="0"/>
    </w:pPr>
    <w:rPr>
      <w:rFonts w:ascii="Georgia" w:cs="Georgia" w:eastAsia="Georgia" w:hAnsi="Georgia"/>
      <w:b/>
      <w:bCs/>
      <w:color w:val="21272E"/>
      <w:sz w:val="32"/>
      <w:szCs w:val="32"/>
    </w:rPr>
  </w:style>
  <w:style w:type="paragraph" w:styleId="Heading2">
    <w:name w:val="Heading 2"/>
    <w:basedOn w:val="Normal"/>
    <w:next w:val="Normal"/>
    <w:pPr>
      <w:keepNext/>
      <w:spacing w:after="120" w:before="240"/>
      <w:outlineLvl w:val="1"/>
    </w:pPr>
    <w:rPr>
      <w:rFonts w:ascii="Georgia" w:cs="Georgia" w:eastAsia="Georgia" w:hAnsi="Georgia"/>
      <w:b/>
      <w:bCs/>
      <w:color w:val="0E7C6B"/>
      <w:sz w:val="25"/>
      <w:szCs w:val="25"/>
    </w:rPr>
  </w:style>
  <w:style w:type="paragraph" w:styleId="Heading3">
    <w:name w:val="Heading 3"/>
    <w:basedOn w:val="Normal"/>
    <w:next w:val="Normal"/>
    <w:pPr>
      <w:keepNext/>
      <w:spacing w:after="100" w:before="180"/>
      <w:outlineLvl w:val="2"/>
    </w:pPr>
    <w:rPr>
      <w:rFonts w:ascii="Georgia" w:cs="Georgia" w:eastAsia="Georgia" w:hAnsi="Georgia"/>
      <w:b/>
      <w:bCs/>
      <w:color w:val="5B657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2026-07-07T19:21:01.583Z</dcterms:created>
  <dcterms:modified xsi:type="dcterms:W3CDTF">2026-07-07T19:21:01.583Z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