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Decision Rights and Responsibility Matrix Starter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Companion worksheet for chapter 2 (Ownership). Replace bracketed fields, delete guidance in italics. Statements referenced: O1 to O8.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Organization:</w:t>
      </w:r>
      <w:r>
        <w:rPr>
          <w:b w:val="false"/>
          <w:bCs w:val="false"/>
          <w:i w:val="false"/>
          <w:iCs w:val="false"/>
        </w:rPr>
        <w:t xml:space="preserve"> [name]  </w:t>
      </w:r>
      <w:r>
        <w:rPr>
          <w:b/>
          <w:bCs/>
          <w:i w:val="false"/>
          <w:iCs w:val="false"/>
        </w:rPr>
        <w:t xml:space="preserve">Version:</w:t>
      </w:r>
      <w:r>
        <w:rPr>
          <w:b w:val="false"/>
          <w:bCs w:val="false"/>
          <w:i w:val="false"/>
          <w:iCs w:val="false"/>
        </w:rPr>
        <w:t xml:space="preserve"> [n]  </w:t>
      </w:r>
      <w:r>
        <w:rPr>
          <w:b/>
          <w:bCs/>
          <w:i w:val="false"/>
          <w:iCs w:val="false"/>
        </w:rPr>
        <w:t xml:space="preserve">Date:</w:t>
      </w:r>
      <w:r>
        <w:rPr>
          <w:b w:val="false"/>
          <w:bCs w:val="false"/>
          <w:i w:val="false"/>
          <w:iCs w:val="false"/>
        </w:rPr>
        <w:t xml:space="preserve"> [date]  </w:t>
      </w:r>
      <w:r>
        <w:rPr>
          <w:b/>
          <w:bCs/>
          <w:i w:val="false"/>
          <w:iCs w:val="false"/>
        </w:rPr>
        <w:t xml:space="preserve">Published at:</w:t>
      </w:r>
      <w:r>
        <w:rPr>
          <w:b w:val="false"/>
          <w:bCs w:val="false"/>
          <w:i w:val="false"/>
          <w:iCs w:val="false"/>
        </w:rPr>
        <w:t xml:space="preserve"> [location the named people can find]</w:t>
      </w:r>
    </w:p>
    <w:p>
      <w:pPr>
        <w:pStyle w:val="Heading2"/>
      </w:pPr>
      <w:r>
        <w:t xml:space="preserve">1. Matrix (O1, O4)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R performs the work, A decides and answers for it, C is consulted before, I is informed after. Exactly one A per row. Rows for access to business resources carry their A in a business role, since IT cannot judge business need (O1). The column headers below are prompts; rename them to your organization's real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17"/>
        <w:gridCol w:w="1543"/>
        <w:gridCol w:w="1300"/>
        <w:gridCol w:w="1300"/>
      </w:tblGrid>
      <w:tr>
        <w:trPr>
          <w:tblHeader/>
        </w:trPr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Decision or process</w:t>
            </w:r>
          </w:p>
        </w:tc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[Business resource owner]</w:t>
            </w:r>
          </w:p>
        </w:tc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[Program lead]</w:t>
            </w:r>
          </w:p>
        </w:tc>
        <w:tc>
          <w:tcPr>
            <w:tcW w:type="dxa" w:w="1317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[Platform operator]</w:t>
            </w:r>
          </w:p>
        </w:tc>
        <w:tc>
          <w:tcPr>
            <w:tcW w:type="dxa" w:w="1543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[Security and governance]</w:t>
            </w:r>
          </w:p>
        </w:tc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[HR]</w:t>
            </w:r>
          </w:p>
        </w:tc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[Sponsor]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Access policy: who may hold what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1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54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Individual access approvals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1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54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Certification outcomes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1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54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Exception grants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1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54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Revocation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1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54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Joiner, mover, leaver processes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1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54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Access request and approval operation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1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54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Certification campaign operation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1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54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Exception handling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1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54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Policy change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1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54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spacing w:after="140"/>
      </w:pPr>
      <w:r>
        <w:rPr>
          <w:b w:val="false"/>
          <w:bCs w:val="false"/>
          <w:i/>
          <w:iCs/>
        </w:rPr>
        <w:t xml:space="preserve">Check after filling: the role that operates a control does not hold A on certifying that control (O2). Where one person holds build, run, and govern roles at once, record it below as accepted risk.</w:t>
      </w:r>
    </w:p>
    <w:p>
      <w:pPr>
        <w:pStyle w:val="Heading2"/>
      </w:pPr>
      <w:r>
        <w:t xml:space="preserve">2. Recorded overlaps (O2)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39"/>
        <w:gridCol w:w="1321"/>
        <w:gridCol w:w="1300"/>
        <w:gridCol w:w="1300"/>
      </w:tblGrid>
      <w:tr>
        <w:trPr>
          <w:tblHeader/>
        </w:trPr>
        <w:tc>
          <w:tcPr>
            <w:tcW w:type="dxa" w:w="5439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Overlap</w:t>
            </w:r>
          </w:p>
        </w:tc>
        <w:tc>
          <w:tcPr>
            <w:tcW w:type="dxa" w:w="1321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Accepted by</w:t>
            </w:r>
          </w:p>
        </w:tc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Date</w:t>
            </w:r>
          </w:p>
        </w:tc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Review date</w:t>
            </w:r>
          </w:p>
        </w:tc>
      </w:tr>
      <w:tr>
        <w:trPr>
          <w:tblHeader w:val="false"/>
        </w:trPr>
        <w:tc>
          <w:tcPr>
            <w:tcW w:type="dxa" w:w="5439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[e.g. platform operator also certifies low-tier systems]</w:t>
            </w:r>
          </w:p>
        </w:tc>
        <w:tc>
          <w:tcPr>
            <w:tcW w:type="dxa" w:w="132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[name, role]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3. Escalation routes (O3)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Every decision class has a route, a named tie-breaker, and a time bound.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7"/>
        <w:gridCol w:w="3293"/>
        <w:gridCol w:w="1907"/>
        <w:gridCol w:w="1733"/>
      </w:tblGrid>
      <w:tr>
        <w:trPr>
          <w:tblHeader/>
        </w:trPr>
        <w:tc>
          <w:tcPr>
            <w:tcW w:type="dxa" w:w="2427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Decision class</w:t>
            </w:r>
          </w:p>
        </w:tc>
        <w:tc>
          <w:tcPr>
            <w:tcW w:type="dxa" w:w="3293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Escalates to</w:t>
            </w:r>
          </w:p>
        </w:tc>
        <w:tc>
          <w:tcPr>
            <w:tcW w:type="dxa" w:w="1907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Tie-breaker</w:t>
            </w:r>
          </w:p>
        </w:tc>
        <w:tc>
          <w:tcPr>
            <w:tcW w:type="dxa" w:w="1733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Time bound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[class]</w:t>
            </w:r>
          </w:p>
        </w:tc>
        <w:tc>
          <w:tcPr>
            <w:tcW w:type="dxa" w:w="329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[role or committee]</w:t>
            </w:r>
          </w:p>
        </w:tc>
        <w:tc>
          <w:tcPr>
            <w:tcW w:type="dxa" w:w="190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[role]</w:t>
            </w:r>
          </w:p>
        </w:tc>
        <w:tc>
          <w:tcPr>
            <w:tcW w:type="dxa" w:w="173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[duration]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 Delegations (O6)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Delegation is recorded, time-bounded, revocable. The delegator remains accountable.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78"/>
        <w:gridCol w:w="1478"/>
        <w:gridCol w:w="1724"/>
      </w:tblGrid>
      <w:tr>
        <w:trPr>
          <w:tblHeader/>
        </w:trPr>
        <w:tc>
          <w:tcPr>
            <w:tcW w:type="dxa" w:w="468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Delegated authority</w:t>
            </w:r>
          </w:p>
        </w:tc>
        <w:tc>
          <w:tcPr>
            <w:tcW w:type="dxa" w:w="1478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From</w:t>
            </w:r>
          </w:p>
        </w:tc>
        <w:tc>
          <w:tcPr>
            <w:tcW w:type="dxa" w:w="1478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To</w:t>
            </w:r>
          </w:p>
        </w:tc>
        <w:tc>
          <w:tcPr>
            <w:tcW w:type="dxa" w:w="1724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Expires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72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5. Program interfaces (O8)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Every interface names a counterpart owner on both sides and the time bound its handoff carries.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1"/>
        <w:gridCol w:w="1693"/>
        <w:gridCol w:w="1300"/>
      </w:tblGrid>
      <w:tr>
        <w:trPr>
          <w:tblHeader/>
        </w:trPr>
        <w:tc>
          <w:tcPr>
            <w:tcW w:type="dxa" w:w="3186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Interface</w:t>
            </w:r>
          </w:p>
        </w:tc>
        <w:tc>
          <w:tcPr>
            <w:tcW w:type="dxa" w:w="3181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Handoff it carries</w:t>
            </w:r>
          </w:p>
        </w:tc>
        <w:tc>
          <w:tcPr>
            <w:tcW w:type="dxa" w:w="1693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Counterpart owner</w:t>
            </w:r>
          </w:p>
        </w:tc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Time bound</w:t>
            </w:r>
          </w:p>
        </w:tc>
      </w:tr>
      <w:tr>
        <w:trPr>
          <w:tblHeader w:val="false"/>
        </w:trPr>
        <w:tc>
          <w:tcPr>
            <w:tcW w:type="dxa" w:w="318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HR</w:t>
            </w:r>
          </w:p>
        </w:tc>
        <w:tc>
          <w:tcPr>
            <w:tcW w:type="dxa" w:w="318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Lifecycle events (PR1, PR8)</w:t>
            </w:r>
          </w:p>
        </w:tc>
        <w:tc>
          <w:tcPr>
            <w:tcW w:type="dxa" w:w="169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[role]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318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Service desk</w:t>
            </w:r>
          </w:p>
        </w:tc>
        <w:tc>
          <w:tcPr>
            <w:tcW w:type="dxa" w:w="318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Intake and fulfilment</w:t>
            </w:r>
          </w:p>
        </w:tc>
        <w:tc>
          <w:tcPr>
            <w:tcW w:type="dxa" w:w="169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[role]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318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Application and resource teams</w:t>
            </w:r>
          </w:p>
        </w:tc>
        <w:tc>
          <w:tcPr>
            <w:tcW w:type="dxa" w:w="318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Onboarding and revocation execution</w:t>
            </w:r>
          </w:p>
        </w:tc>
        <w:tc>
          <w:tcPr>
            <w:tcW w:type="dxa" w:w="169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[role]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318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Procurement or vendor management</w:t>
            </w:r>
          </w:p>
        </w:tc>
        <w:tc>
          <w:tcPr>
            <w:tcW w:type="dxa" w:w="318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External identity end dates</w:t>
            </w:r>
          </w:p>
        </w:tc>
        <w:tc>
          <w:tcPr>
            <w:tcW w:type="dxa" w:w="169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[role]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318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Security operations</w:t>
            </w:r>
          </w:p>
        </w:tc>
        <w:tc>
          <w:tcPr>
            <w:tcW w:type="dxa" w:w="318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Event triggers and usage signals</w:t>
            </w:r>
          </w:p>
        </w:tc>
        <w:tc>
          <w:tcPr>
            <w:tcW w:type="dxa" w:w="169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[role]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6. Non-human ownership check (O7)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Every service account, key, workload identity, and agent in scope maps to a named human role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Ownership transfer on departure is defined (chapter 5, PR7)</w:t>
      </w:r>
    </w:p>
    <w:p>
      <w:pPr>
        <w:pBdr>
          <w:bottom w:val="single" w:color="C9CFD6" w:sz="6"/>
        </w:pBdr>
        <w:spacing w:after="200" w:before="200"/>
      </w:pPr>
    </w:p>
    <w:p>
      <w:pPr>
        <w:spacing w:after="140"/>
      </w:pPr>
      <w:r>
        <w:rPr>
          <w:b w:val="false"/>
          <w:bCs w:val="false"/>
          <w:i/>
          <w:iCs/>
        </w:rPr>
        <w:t xml:space="preserve">Companion artifact, Open IGA Operating Framework, v0.1. Non-normative; where this worksheet and the core diverge, the core governs. Licensed under CC BY 4.0.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72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200" w:before="120"/>
      <w:outlineLvl w:val="0"/>
    </w:pPr>
    <w:rPr>
      <w:rFonts w:ascii="Georgia" w:cs="Georgia" w:eastAsia="Georgia" w:hAnsi="Georgia"/>
      <w:b/>
      <w:bCs/>
      <w:color w:val="21272E"/>
      <w:sz w:val="32"/>
      <w:szCs w:val="32"/>
    </w:rPr>
  </w:style>
  <w:style w:type="paragraph" w:styleId="Heading2">
    <w:name w:val="Heading 2"/>
    <w:basedOn w:val="Normal"/>
    <w:next w:val="Normal"/>
    <w:pPr>
      <w:keepNext/>
      <w:spacing w:after="120" w:before="240"/>
      <w:outlineLvl w:val="1"/>
    </w:pPr>
    <w:rPr>
      <w:rFonts w:ascii="Georgia" w:cs="Georgia" w:eastAsia="Georgia" w:hAnsi="Georgia"/>
      <w:b/>
      <w:bCs/>
      <w:color w:val="0E7C6B"/>
      <w:sz w:val="25"/>
      <w:szCs w:val="25"/>
    </w:rPr>
  </w:style>
  <w:style w:type="paragraph" w:styleId="Heading3">
    <w:name w:val="Heading 3"/>
    <w:basedOn w:val="Normal"/>
    <w:next w:val="Normal"/>
    <w:pPr>
      <w:keepNext/>
      <w:spacing w:after="100" w:before="180"/>
      <w:outlineLvl w:val="2"/>
    </w:pPr>
    <w:rPr>
      <w:rFonts w:ascii="Georgia" w:cs="Georgia" w:eastAsia="Georgia" w:hAnsi="Georgia"/>
      <w:b/>
      <w:bCs/>
      <w:color w:val="5B65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2026-07-07T19:21:00.535Z</dcterms:created>
  <dcterms:modified xsi:type="dcterms:W3CDTF">2026-07-07T19:21:00.535Z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