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Scope Register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 for chapter 3 (Scope). Replace bracketed fields, delete guidance in italics. Statements referenced: S1 to S7.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Organization: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Register version:</w:t>
      </w:r>
      <w:r>
        <w:rPr>
          <w:b w:val="false"/>
          <w:bCs w:val="false"/>
          <w:i w:val="false"/>
          <w:iCs w:val="false"/>
        </w:rPr>
        <w:t xml:space="preserve"> [n]  </w:t>
      </w:r>
      <w:r>
        <w:rPr>
          <w:b/>
          <w:bCs/>
          <w:i w:val="false"/>
          <w:iCs w:val="false"/>
        </w:rPr>
        <w:t xml:space="preserve">Date:</w:t>
      </w:r>
      <w:r>
        <w:rPr>
          <w:b w:val="false"/>
          <w:bCs w:val="false"/>
          <w:i w:val="false"/>
          <w:iCs w:val="false"/>
        </w:rPr>
        <w:t xml:space="preserve"> [date]  </w:t>
      </w:r>
      <w:r>
        <w:rPr>
          <w:b/>
          <w:bCs/>
          <w:i w:val="false"/>
          <w:iCs w:val="false"/>
        </w:rPr>
        <w:t xml:space="preserve">Owner:</w:t>
      </w:r>
      <w:r>
        <w:rPr>
          <w:b w:val="false"/>
          <w:bCs w:val="false"/>
          <w:i w:val="false"/>
          <w:iCs w:val="false"/>
        </w:rPr>
        <w:t xml:space="preserve"> [role]</w:t>
      </w:r>
    </w:p>
    <w:p>
      <w:pPr>
        <w:pStyle w:val="Heading2"/>
      </w:pPr>
      <w:r>
        <w:t xml:space="preserve">1. Identity populations (S1, S4)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Every population is declared in or out. A population declared neither way is a defect. Each in-scope population names its authoritative source; where two sources conflict, record which one wins.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5"/>
        <w:gridCol w:w="3034"/>
        <w:gridCol w:w="2001"/>
        <w:gridCol w:w="1300"/>
      </w:tblGrid>
      <w:tr>
        <w:trPr>
          <w:tblHeader/>
        </w:trPr>
        <w:tc>
          <w:tcPr>
            <w:tcW w:type="dxa" w:w="3025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Population</w:t>
            </w:r>
          </w:p>
        </w:tc>
        <w:tc>
          <w:tcPr>
            <w:tcW w:type="dxa" w:w="3034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In / Out</w:t>
            </w:r>
          </w:p>
        </w:tc>
        <w:tc>
          <w:tcPr>
            <w:tcW w:type="dxa" w:w="2001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Authoritative source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Precedence note</w:t>
            </w:r>
          </w:p>
        </w:tc>
      </w:tr>
      <w:tr>
        <w:trPr>
          <w:tblHeader w:val="false"/>
        </w:trPr>
        <w:tc>
          <w:tcPr>
            <w:tcW w:type="dxa" w:w="302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Workforce: employees</w:t>
            </w:r>
          </w:p>
        </w:tc>
        <w:tc>
          <w:tcPr>
            <w:tcW w:type="dxa" w:w="303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[in/out]</w:t>
            </w:r>
          </w:p>
        </w:tc>
        <w:tc>
          <w:tcPr>
            <w:tcW w:type="dxa" w:w="200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HR system]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02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Workforce: contractors</w:t>
            </w:r>
          </w:p>
        </w:tc>
        <w:tc>
          <w:tcPr>
            <w:tcW w:type="dxa" w:w="303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[in/out]</w:t>
            </w:r>
          </w:p>
        </w:tc>
        <w:tc>
          <w:tcPr>
            <w:tcW w:type="dxa" w:w="200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vendor management system]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02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External: partners, vendors</w:t>
            </w:r>
          </w:p>
        </w:tc>
        <w:tc>
          <w:tcPr>
            <w:tcW w:type="dxa" w:w="303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[in/out]</w:t>
            </w:r>
          </w:p>
        </w:tc>
        <w:tc>
          <w:tcPr>
            <w:tcW w:type="dxa" w:w="200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[source]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02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Non-human: service accounts, keys, workloads, agents</w:t>
            </w:r>
          </w:p>
        </w:tc>
        <w:tc>
          <w:tcPr>
            <w:tcW w:type="dxa" w:w="303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[in/out]</w:t>
            </w:r>
          </w:p>
        </w:tc>
        <w:tc>
          <w:tcPr>
            <w:tcW w:type="dxa" w:w="200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[registry]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3025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Customer</w:t>
            </w:r>
          </w:p>
        </w:tc>
        <w:tc>
          <w:tcPr>
            <w:tcW w:type="dxa" w:w="303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[in/out, usually out: separate CIAM discipline]</w:t>
            </w:r>
          </w:p>
        </w:tc>
        <w:tc>
          <w:tcPr>
            <w:tcW w:type="dxa" w:w="200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Resource classes (S2, S3)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Each class names the inventory it can be reproduced from and the granularity at which it is governed. Drift below the chosen granularity is invisible; high-risk classes should sit at entitlement level.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4"/>
        <w:gridCol w:w="1922"/>
        <w:gridCol w:w="3714"/>
        <w:gridCol w:w="1300"/>
      </w:tblGrid>
      <w:tr>
        <w:trPr>
          <w:tblHeader/>
        </w:trPr>
        <w:tc>
          <w:tcPr>
            <w:tcW w:type="dxa" w:w="2424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Resource class</w:t>
            </w:r>
          </w:p>
        </w:tc>
        <w:tc>
          <w:tcPr>
            <w:tcW w:type="dxa" w:w="1922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Authoritative inventory</w:t>
            </w:r>
          </w:p>
        </w:tc>
        <w:tc>
          <w:tcPr>
            <w:tcW w:type="dxa" w:w="3714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Granularity (account / role or group / entitlement)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242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financial applications]</w:t>
            </w:r>
          </w:p>
        </w:tc>
        <w:tc>
          <w:tcPr>
            <w:tcW w:type="dxa" w:w="192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CMDB]</w:t>
            </w:r>
          </w:p>
        </w:tc>
        <w:tc>
          <w:tcPr>
            <w:tcW w:type="dxa" w:w="371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[level]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42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SaaS]</w:t>
            </w:r>
          </w:p>
        </w:tc>
        <w:tc>
          <w:tcPr>
            <w:tcW w:type="dxa" w:w="192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71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42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infrastructure]</w:t>
            </w:r>
          </w:p>
        </w:tc>
        <w:tc>
          <w:tcPr>
            <w:tcW w:type="dxa" w:w="192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71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Onboarding gate (S5)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No system enters scope without passing this gate.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Owner assigned (chapter 2, O5)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Tier assigned (chapter 4, P1)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Inventory source confirmed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Granularity set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Entry date recorded in this register</w:t>
      </w:r>
    </w:p>
    <w:p>
      <w:pPr>
        <w:pStyle w:val="Heading2"/>
      </w:pPr>
      <w:r>
        <w:t xml:space="preserve">4. Exclusions (S6)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8"/>
        <w:gridCol w:w="2478"/>
        <w:gridCol w:w="3304"/>
      </w:tblGrid>
      <w:tr>
        <w:trPr>
          <w:tblHeader/>
        </w:trPr>
        <w:tc>
          <w:tcPr>
            <w:tcW w:type="dxa" w:w="35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Excluded item</w:t>
            </w:r>
          </w:p>
        </w:tc>
        <w:tc>
          <w:tcPr>
            <w:tcW w:type="dxa" w:w="24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Rationale</w:t>
            </w:r>
          </w:p>
        </w:tc>
        <w:tc>
          <w:tcPr>
            <w:tcW w:type="dxa" w:w="3304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Revisit date</w:t>
            </w:r>
          </w:p>
        </w:tc>
      </w:tr>
      <w:tr>
        <w:trPr>
          <w:tblHeader w:val="false"/>
        </w:trPr>
        <w:tc>
          <w:tcPr>
            <w:tcW w:type="dxa" w:w="35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2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30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Discovery debt (S7)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Unknown non-human populations are recorded here as debt with an owner and a bound, and they are treated as out of scope until discovered.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2"/>
        <w:gridCol w:w="1300"/>
        <w:gridCol w:w="1418"/>
      </w:tblGrid>
      <w:tr>
        <w:trPr>
          <w:tblHeader/>
        </w:trPr>
        <w:tc>
          <w:tcPr>
            <w:tcW w:type="dxa" w:w="6642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Unknown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Owner</w:t>
            </w:r>
          </w:p>
        </w:tc>
        <w:tc>
          <w:tcPr>
            <w:tcW w:type="dxa" w:w="141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Time bound</w:t>
            </w:r>
          </w:p>
        </w:tc>
      </w:tr>
      <w:tr>
        <w:trPr>
          <w:tblHeader w:val="false"/>
        </w:trPr>
        <w:tc>
          <w:tcPr>
            <w:tcW w:type="dxa" w:w="664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[e.g. service account population in legacy estate]</w:t>
            </w:r>
          </w:p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[role]</w:t>
            </w:r>
          </w:p>
        </w:tc>
        <w:tc>
          <w:tcPr>
            <w:tcW w:type="dxa" w:w="141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[date]</w:t>
            </w:r>
          </w:p>
        </w:tc>
      </w:tr>
    </w:tbl>
    <w:p>
      <w:pPr>
        <w:spacing w:after="160"/>
      </w:pP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2026-07-07T19:21:00.307Z</dcterms:created>
  <dcterms:modified xsi:type="dcterms:W3CDTF">2026-07-07T19:21:00.307Z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