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Tier Criteria and On-Ramp Worksheet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 for chapter 4 (Prioritization). Replace bracketed fields, delete guidance in italics. Statements referenced: P1 to P6.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Organization: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Version:</w:t>
      </w:r>
      <w:r>
        <w:rPr>
          <w:b w:val="false"/>
          <w:bCs w:val="false"/>
          <w:i w:val="false"/>
          <w:iCs w:val="false"/>
        </w:rPr>
        <w:t xml:space="preserve"> [n]  </w:t>
      </w:r>
      <w:r>
        <w:rPr>
          <w:b/>
          <w:bCs/>
          <w:i w:val="false"/>
          <w:iCs w:val="false"/>
        </w:rPr>
        <w:t xml:space="preserve">Date:</w:t>
      </w:r>
      <w:r>
        <w:rPr>
          <w:b w:val="false"/>
          <w:bCs w:val="false"/>
          <w:i w:val="false"/>
          <w:iCs w:val="false"/>
        </w:rPr>
        <w:t xml:space="preserve"> [date]  </w:t>
      </w:r>
      <w:r>
        <w:rPr>
          <w:b/>
          <w:bCs/>
          <w:i w:val="false"/>
          <w:iCs w:val="false"/>
        </w:rPr>
        <w:t xml:space="preserve">Owner:</w:t>
      </w:r>
      <w:r>
        <w:rPr>
          <w:b w:val="false"/>
          <w:bCs w:val="false"/>
          <w:i w:val="false"/>
          <w:iCs w:val="false"/>
        </w:rPr>
        <w:t xml:space="preserve"> [role]</w:t>
      </w:r>
    </w:p>
    <w:p>
      <w:pPr>
        <w:pStyle w:val="Heading2"/>
      </w:pPr>
      <w:r>
        <w:t xml:space="preserve">1. Tier criteria (P1)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Write the criteria, then the attribute values that place a system in each tier. The criteria below are the typical set from P1; add or remove to fit. The framework sets no thresholds; the values are yours.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0"/>
        <w:gridCol w:w="2189"/>
        <w:gridCol w:w="1741"/>
        <w:gridCol w:w="1300"/>
        <w:gridCol w:w="1300"/>
      </w:tblGrid>
      <w:tr>
        <w:trPr>
          <w:tblHeader/>
        </w:trPr>
        <w:tc>
          <w:tcPr>
            <w:tcW w:type="dxa" w:w="283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Criterion</w:t>
            </w:r>
          </w:p>
        </w:tc>
        <w:tc>
          <w:tcPr>
            <w:tcW w:type="dxa" w:w="2189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Definition for this organization</w:t>
            </w:r>
          </w:p>
        </w:tc>
        <w:tc>
          <w:tcPr>
            <w:tcW w:type="dxa" w:w="1741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1 (highest)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2</w:t>
            </w:r>
          </w:p>
        </w:tc>
        <w:tc>
          <w:tcPr>
            <w:tcW w:type="dxa" w:w="130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3</w:t>
            </w:r>
          </w:p>
        </w:tc>
      </w:tr>
      <w:tr>
        <w:trPr>
          <w:tblHeader w:val="false"/>
        </w:trPr>
        <w:tc>
          <w:tcPr>
            <w:tcW w:type="dxa" w:w="283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Data sensitivity</w:t>
            </w:r>
          </w:p>
        </w:tc>
        <w:tc>
          <w:tcPr>
            <w:tcW w:type="dxa" w:w="2189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74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83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Privilege level</w:t>
            </w:r>
          </w:p>
        </w:tc>
        <w:tc>
          <w:tcPr>
            <w:tcW w:type="dxa" w:w="2189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74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83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Blast radius on compromise</w:t>
            </w:r>
          </w:p>
        </w:tc>
        <w:tc>
          <w:tcPr>
            <w:tcW w:type="dxa" w:w="2189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74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83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Regulatory materiality</w:t>
            </w:r>
          </w:p>
        </w:tc>
        <w:tc>
          <w:tcPr>
            <w:tcW w:type="dxa" w:w="2189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74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83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External exposure</w:t>
            </w:r>
          </w:p>
        </w:tc>
        <w:tc>
          <w:tcPr>
            <w:tcW w:type="dxa" w:w="2189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741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Tier to intensity mapping (P2)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This mapping feeds the cadence table (chapter 6, C1).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50"/>
        <w:gridCol w:w="1370"/>
        <w:gridCol w:w="1370"/>
        <w:gridCol w:w="1370"/>
      </w:tblGrid>
      <w:tr>
        <w:trPr>
          <w:tblHeader/>
        </w:trPr>
        <w:tc>
          <w:tcPr>
            <w:tcW w:type="dxa" w:w="525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Intensity dimension</w:t>
            </w:r>
          </w:p>
        </w:tc>
        <w:tc>
          <w:tcPr>
            <w:tcW w:type="dxa" w:w="137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1</w:t>
            </w:r>
          </w:p>
        </w:tc>
        <w:tc>
          <w:tcPr>
            <w:tcW w:type="dxa" w:w="137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2</w:t>
            </w:r>
          </w:p>
        </w:tc>
        <w:tc>
          <w:tcPr>
            <w:tcW w:type="dxa" w:w="137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3</w:t>
            </w:r>
          </w:p>
        </w:tc>
      </w:tr>
      <w:tr>
        <w:trPr>
          <w:tblHeader w:val="false"/>
        </w:trPr>
        <w:tc>
          <w:tcPr>
            <w:tcW w:type="dxa" w:w="525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Certification frequency</w:t>
            </w:r>
          </w:p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525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Approval depth</w:t>
            </w:r>
          </w:p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525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Review rigour</w:t>
            </w:r>
          </w:p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37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Sequencing rule (P3)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For any two in-scope systems, the one governed first is: [state the rule; it follows from tier].</w:t>
      </w:r>
    </w:p>
    <w:p>
      <w:pPr>
        <w:pStyle w:val="Heading2"/>
      </w:pPr>
      <w:r>
        <w:t xml:space="preserve">4. Default placements (P4)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Privileged access sits in the top tiers</w:t>
      </w:r>
    </w:p>
    <w:p>
      <w:pPr>
        <w:spacing w:after="80"/>
        <w:ind w:left="460" w:hanging="300"/>
      </w:pPr>
      <w:r>
        <w:t xml:space="preserve">☐  </w:t>
      </w:r>
      <w:r>
        <w:rPr>
          <w:b w:val="false"/>
          <w:bCs w:val="false"/>
          <w:i w:val="false"/>
          <w:iCs w:val="false"/>
        </w:rPr>
        <w:t xml:space="preserve">Non-human identities sit in the top tiers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If either is placed lower, rationale: [record it]</w:t>
      </w:r>
    </w:p>
    <w:p>
      <w:pPr>
        <w:pStyle w:val="Heading2"/>
      </w:pPr>
      <w:r>
        <w:t xml:space="preserve">5. Revisit cycle and triggers (P5)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Cycle: [e.g. annual]. Triggers: security incident, material architecture change, new regulatory obligation, [add others].</w:t>
      </w:r>
    </w:p>
    <w:p>
      <w:pPr>
        <w:pStyle w:val="Heading2"/>
      </w:pPr>
      <w:r>
        <w:t xml:space="preserve">6. On-ramp selector (P6)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Answer in order. The first yes selects the starting state; record it and the first move.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Question</w:t>
            </w:r>
          </w:p>
        </w:tc>
        <w:tc>
          <w:tcPr>
            <w:tcW w:type="dxa" w:w="468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If yes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Is part of the estate being rebuilt while the rest runs as-is?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Bluefield. First move: rank estate segments by risk reduction per unit of rebuild effort; hold the legacy estate under compensating governance (section 4.4).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Is there an accumulated estate of grants nobody has reviewed?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Brownfield. First move: baseline the top tier, remediate its orphaned accounts and excess entitlements first (section 4.4).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Neither: no governance layer exists yet?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Greenfield. First move: authoritative source and lifecycle spine, then privileged access, then tier-1 systems through the scope gate (section 4.4).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Selected on-ramp: [greenfield / bluefield / brownfield]  Recorded first move: [text]</w:t>
      </w: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2026-07-07T19:21:00.783Z</dcterms:created>
  <dcterms:modified xsi:type="dcterms:W3CDTF">2026-07-07T19:21:00.783Z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