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Cadence Table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Companion worksheet for chapter 6 (Cadence). Replace bracketed fields, delete guidance in italics. Statements referenced: C1 to C7. The framework requires that this table exist and that frequency scale with tier. Every value is the program's own; nothing here is a benchmark.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Organization:</w:t>
      </w:r>
      <w:r>
        <w:rPr>
          <w:b w:val="false"/>
          <w:bCs w:val="false"/>
          <w:i w:val="false"/>
          <w:iCs w:val="false"/>
        </w:rPr>
        <w:t xml:space="preserve"> [name]  </w:t>
      </w:r>
      <w:r>
        <w:rPr>
          <w:b/>
          <w:bCs/>
          <w:i w:val="false"/>
          <w:iCs w:val="false"/>
        </w:rPr>
        <w:t xml:space="preserve">Version:</w:t>
      </w:r>
      <w:r>
        <w:rPr>
          <w:b w:val="false"/>
          <w:bCs w:val="false"/>
          <w:i w:val="false"/>
          <w:iCs w:val="false"/>
        </w:rPr>
        <w:t xml:space="preserve"> [n]  </w:t>
      </w:r>
      <w:r>
        <w:rPr>
          <w:b/>
          <w:bCs/>
          <w:i w:val="false"/>
          <w:iCs w:val="false"/>
        </w:rPr>
        <w:t xml:space="preserve">Date:</w:t>
      </w:r>
      <w:r>
        <w:rPr>
          <w:b w:val="false"/>
          <w:bCs w:val="false"/>
          <w:i w:val="false"/>
          <w:iCs w:val="false"/>
        </w:rPr>
        <w:t xml:space="preserve"> [date]  </w:t>
      </w:r>
      <w:r>
        <w:rPr>
          <w:b/>
          <w:bCs/>
          <w:i w:val="false"/>
          <w:iCs w:val="false"/>
        </w:rPr>
        <w:t xml:space="preserve">Owner:</w:t>
      </w:r>
      <w:r>
        <w:rPr>
          <w:b w:val="false"/>
          <w:bCs w:val="false"/>
          <w:i w:val="false"/>
          <w:iCs w:val="false"/>
        </w:rPr>
        <w:t xml:space="preserve"> [role]</w:t>
      </w:r>
    </w:p>
    <w:p>
      <w:pPr>
        <w:pStyle w:val="Heading2"/>
      </w:pPr>
      <w:r>
        <w:t xml:space="preserve">1. Certification frequency (C1)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Rows are identity populations; add rows to match your scope register.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6"/>
        <w:gridCol w:w="1478"/>
        <w:gridCol w:w="1478"/>
        <w:gridCol w:w="1478"/>
      </w:tblGrid>
      <w:tr>
        <w:trPr>
          <w:tblHeader/>
        </w:trPr>
        <w:tc>
          <w:tcPr>
            <w:tcW w:type="dxa" w:w="4926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Population</w:t>
            </w:r>
          </w:p>
        </w:tc>
        <w:tc>
          <w:tcPr>
            <w:tcW w:type="dxa" w:w="147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Tier 1</w:t>
            </w:r>
          </w:p>
        </w:tc>
        <w:tc>
          <w:tcPr>
            <w:tcW w:type="dxa" w:w="147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Tier 2</w:t>
            </w:r>
          </w:p>
        </w:tc>
        <w:tc>
          <w:tcPr>
            <w:tcW w:type="dxa" w:w="147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Tier 3</w:t>
            </w:r>
          </w:p>
        </w:tc>
      </w:tr>
      <w:tr>
        <w:trPr>
          <w:tblHeader w:val="false"/>
        </w:trPr>
        <w:tc>
          <w:tcPr>
            <w:tcW w:type="dxa" w:w="492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Employees</w:t>
            </w:r>
          </w:p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492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Contractors</w:t>
            </w:r>
          </w:p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492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External identities</w:t>
            </w:r>
          </w:p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492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Non-human identities</w:t>
            </w:r>
          </w:p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492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Privileged access</w:t>
            </w:r>
          </w:p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2. Expiry defaults (C2)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Time-bounded access is the default for these categories, with renewal requiring re-justification. Where standing access is granted instead, record the rationale.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8"/>
        <w:gridCol w:w="1702"/>
        <w:gridCol w:w="4680"/>
      </w:tblGrid>
      <w:tr>
        <w:trPr>
          <w:tblHeader/>
        </w:trPr>
        <w:tc>
          <w:tcPr>
            <w:tcW w:type="dxa" w:w="297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Category</w:t>
            </w:r>
          </w:p>
        </w:tc>
        <w:tc>
          <w:tcPr>
            <w:tcW w:type="dxa" w:w="1702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Default term</w:t>
            </w:r>
          </w:p>
        </w:tc>
        <w:tc>
          <w:tcPr>
            <w:tcW w:type="dxa" w:w="468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Standing access rationale, if any</w:t>
            </w:r>
          </w:p>
        </w:tc>
      </w:tr>
      <w:tr>
        <w:trPr>
          <w:tblHeader w:val="false"/>
        </w:trPr>
        <w:tc>
          <w:tcPr>
            <w:tcW w:type="dxa" w:w="29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Privileged access</w:t>
            </w:r>
          </w:p>
        </w:tc>
        <w:tc>
          <w:tcPr>
            <w:tcW w:type="dxa" w:w="1702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9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Exceptions</w:t>
            </w:r>
          </w:p>
        </w:tc>
        <w:tc>
          <w:tcPr>
            <w:tcW w:type="dxa" w:w="1702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9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External identities</w:t>
            </w:r>
          </w:p>
        </w:tc>
        <w:tc>
          <w:tcPr>
            <w:tcW w:type="dxa" w:w="1702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9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Non-human credentials</w:t>
            </w:r>
          </w:p>
        </w:tc>
        <w:tc>
          <w:tcPr>
            <w:tcW w:type="dxa" w:w="1702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3. Event triggers (C3)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Each event triggers out-of-cycle review of the access it affects, with a bound on how fast the review starts.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4"/>
        <w:gridCol w:w="4566"/>
      </w:tblGrid>
      <w:tr>
        <w:trPr>
          <w:tblHeader/>
        </w:trPr>
        <w:tc>
          <w:tcPr>
            <w:tcW w:type="dxa" w:w="4794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Event</w:t>
            </w:r>
          </w:p>
        </w:tc>
        <w:tc>
          <w:tcPr>
            <w:tcW w:type="dxa" w:w="4566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Review starts within</w:t>
            </w:r>
          </w:p>
        </w:tc>
      </w:tr>
      <w:tr>
        <w:trPr>
          <w:tblHeader w:val="false"/>
        </w:trPr>
        <w:tc>
          <w:tcPr>
            <w:tcW w:type="dxa" w:w="479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Role change</w:t>
            </w:r>
          </w:p>
        </w:tc>
        <w:tc>
          <w:tcPr>
            <w:tcW w:type="dxa" w:w="456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479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Departure</w:t>
            </w:r>
          </w:p>
        </w:tc>
        <w:tc>
          <w:tcPr>
            <w:tcW w:type="dxa" w:w="456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479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Security incident</w:t>
            </w:r>
          </w:p>
        </w:tc>
        <w:tc>
          <w:tcPr>
            <w:tcW w:type="dxa" w:w="456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479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Organizational change</w:t>
            </w:r>
          </w:p>
        </w:tc>
        <w:tc>
          <w:tcPr>
            <w:tcW w:type="dxa" w:w="4566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4. Decision time bounds (C4)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Breaches surface to the owner; a pattern of breaches surfaces to the accountable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77"/>
        <w:gridCol w:w="3483"/>
      </w:tblGrid>
      <w:tr>
        <w:trPr>
          <w:tblHeader/>
        </w:trPr>
        <w:tc>
          <w:tcPr>
            <w:tcW w:type="dxa" w:w="5877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Decision type</w:t>
            </w:r>
          </w:p>
        </w:tc>
        <w:tc>
          <w:tcPr>
            <w:tcW w:type="dxa" w:w="3483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Maximum duration</w:t>
            </w:r>
          </w:p>
        </w:tc>
      </w:tr>
      <w:tr>
        <w:trPr>
          <w:tblHeader w:val="false"/>
        </w:trPr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Request approval, per stage</w:t>
            </w:r>
          </w:p>
        </w:tc>
        <w:tc>
          <w:tcPr>
            <w:tcW w:type="dxa" w:w="348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Revocation execution</w:t>
            </w:r>
          </w:p>
        </w:tc>
        <w:tc>
          <w:tcPr>
            <w:tcW w:type="dxa" w:w="348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Escalation resolution</w:t>
            </w:r>
          </w:p>
        </w:tc>
        <w:tc>
          <w:tcPr>
            <w:tcW w:type="dxa" w:w="3483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5. Measurement windows (C5)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Window per metric, held constant across reporting cycles: [windows, adopted from the measurement module]. A change to a window is versioned like a change to scope.</w:t>
      </w:r>
    </w:p>
    <w:p>
      <w:pPr>
        <w:pStyle w:val="Heading2"/>
      </w:pPr>
      <w:r>
        <w:t xml:space="preserve">6. Reporting cycle (C6)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Reports to [accountable body, from the charter] every [cycle], content framed as risk movement against the mandate.</w:t>
      </w:r>
    </w:p>
    <w:p>
      <w:pPr>
        <w:pStyle w:val="Heading2"/>
      </w:pPr>
      <w:r>
        <w:t xml:space="preserve">7. This table's own review (C7)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Revisited every [cycle, at most annual] and on the same triggers as tiering (chapter 4, P5).</w:t>
      </w:r>
    </w:p>
    <w:p>
      <w:pPr>
        <w:pBdr>
          <w:bottom w:val="single" w:color="C9CFD6" w:sz="6"/>
        </w:pBdr>
        <w:spacing w:after="200" w:before="20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Companion artifact, Open IGA Operating Framework, v0.1. Non-normative; where this worksheet and the core diverge, the core governs. Licensed under CC BY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72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200" w:before="120"/>
      <w:outlineLvl w:val="0"/>
    </w:pPr>
    <w:rPr>
      <w:rFonts w:ascii="Georgia" w:cs="Georgia" w:eastAsia="Georgia" w:hAnsi="Georgia"/>
      <w:b/>
      <w:bCs/>
      <w:color w:val="21272E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/>
      <w:outlineLvl w:val="1"/>
    </w:pPr>
    <w:rPr>
      <w:rFonts w:ascii="Georgia" w:cs="Georgia" w:eastAsia="Georgia" w:hAnsi="Georgia"/>
      <w:b/>
      <w:bCs/>
      <w:color w:val="0E7C6B"/>
      <w:sz w:val="25"/>
      <w:szCs w:val="25"/>
    </w:rPr>
  </w:style>
  <w:style w:type="paragraph" w:styleId="Heading3">
    <w:name w:val="Heading 3"/>
    <w:basedOn w:val="Normal"/>
    <w:next w:val="Normal"/>
    <w:pPr>
      <w:keepNext/>
      <w:spacing w:after="100" w:before="180"/>
      <w:outlineLvl w:val="2"/>
    </w:pPr>
    <w:rPr>
      <w:rFonts w:ascii="Georgia" w:cs="Georgia" w:eastAsia="Georgia" w:hAnsi="Georgia"/>
      <w:b/>
      <w:bCs/>
      <w:color w:val="5B65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2026-07-07T23:34:15.378Z</dcterms:created>
  <dcterms:modified xsi:type="dcterms:W3CDTF">2026-07-07T23:34:15.378Z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