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Certification Campaign Design Checklist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Companion worksheet for chapter 5 (Process). Use before, during, and after each campaign. Statements referenced: PS4, PS5, C1, C3, C6. Failure mode watched: chapter 5, F3.</w:t>
      </w:r>
    </w:p>
    <w:p>
      <w:pPr>
        <w:spacing w:after="140"/>
      </w:pPr>
      <w:r>
        <w:rPr>
          <w:b/>
          <w:bCs/>
          <w:i w:val="false"/>
          <w:iCs w:val="false"/>
        </w:rPr>
        <w:t xml:space="preserve">Campaign:</w:t>
      </w:r>
      <w:r>
        <w:rPr>
          <w:b w:val="false"/>
          <w:bCs w:val="false"/>
          <w:i w:val="false"/>
          <w:iCs w:val="false"/>
        </w:rPr>
        <w:t xml:space="preserve"> [name]  </w:t>
      </w:r>
      <w:r>
        <w:rPr>
          <w:b/>
          <w:bCs/>
          <w:i w:val="false"/>
          <w:iCs w:val="false"/>
        </w:rPr>
        <w:t xml:space="preserve">Tier(s):</w:t>
      </w:r>
      <w:r>
        <w:rPr>
          <w:b w:val="false"/>
          <w:bCs w:val="false"/>
          <w:i w:val="false"/>
          <w:iCs w:val="false"/>
        </w:rPr>
        <w:t xml:space="preserve"> [tiers]  </w:t>
      </w:r>
      <w:r>
        <w:rPr>
          <w:b/>
          <w:bCs/>
          <w:i w:val="false"/>
          <w:iCs w:val="false"/>
        </w:rPr>
        <w:t xml:space="preserve">Owner:</w:t>
      </w:r>
      <w:r>
        <w:rPr>
          <w:b w:val="false"/>
          <w:bCs w:val="false"/>
          <w:i w:val="false"/>
          <w:iCs w:val="false"/>
        </w:rPr>
        <w:t xml:space="preserve"> [role]  </w:t>
      </w:r>
      <w:r>
        <w:rPr>
          <w:b/>
          <w:bCs/>
          <w:i w:val="false"/>
          <w:iCs w:val="false"/>
        </w:rPr>
        <w:t xml:space="preserve">Dates:</w:t>
      </w:r>
      <w:r>
        <w:rPr>
          <w:b w:val="false"/>
          <w:bCs w:val="false"/>
          <w:i w:val="false"/>
          <w:iCs w:val="false"/>
        </w:rPr>
        <w:t xml:space="preserve"> [start to end]</w:t>
      </w:r>
    </w:p>
    <w:p>
      <w:pPr>
        <w:pStyle w:val="Heading2"/>
      </w:pPr>
      <w:r>
        <w:t xml:space="preserve">Before launch (PS4, C1, C3)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Campaign scope ties to the tier register, and frequency comes from the cadence table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Trigger is recorded: calendar cycle or event (role change, departure, incident, organizational change)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Each certifier will see, per item: what the entitlement does, when it was last used, the justification on record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Bulk approval is constrained; where permitted, it is logged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Escalation for non-response is defined with a time bound</w:t>
      </w:r>
    </w:p>
    <w:p>
      <w:pPr>
        <w:pStyle w:val="Heading2"/>
      </w:pPr>
      <w:r>
        <w:t xml:space="preserve">During (PS4)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Bulk approvals are being logged and counted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Non-responses are escalating on the defined bound</w:t>
      </w:r>
    </w:p>
    <w:p>
      <w:pPr>
        <w:pStyle w:val="Heading2"/>
      </w:pPr>
      <w:r>
        <w:t xml:space="preserve">After close (PS5, C6, F3 watch)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Every denial produced a revocation with a time bound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Revocations verified in target systems by re-check, and the record shows it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Campaign quality signals reviewed: approval rate, median decision time per item, bulk approval count</w:t>
      </w:r>
    </w:p>
    <w:p>
      <w:pPr>
        <w:spacing w:after="80"/>
        <w:ind w:left="460" w:hanging="300"/>
      </w:pPr>
      <w:r>
        <w:t xml:space="preserve">☐  </w:t>
      </w:r>
      <w:r>
        <w:rPr>
          <w:b w:val="false"/>
          <w:bCs w:val="false"/>
          <w:i w:val="false"/>
          <w:iCs w:val="false"/>
        </w:rPr>
        <w:t xml:space="preserve">Signals reported on the fixed reporting cycle as risk movement, alongside completion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Reading the quality signals: approval rates approaching one hundred percent with decision times of seconds per item are the observable signal of rubber-stamping (chapter 5, F3). Completion percentage alone reports activity, and the mandate reports risk (chapter 1, M2).</w:t>
      </w:r>
    </w:p>
    <w:p>
      <w:pPr>
        <w:pBdr>
          <w:bottom w:val="single" w:color="C9CFD6" w:sz="6"/>
        </w:pBdr>
        <w:spacing w:after="200" w:before="20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Companion artifact, Open IGA Operating Framework, v0.1. Non-normative; where this worksheet and the core diverge, the core governs. Licensed under CC BY 4.0.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72E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200" w:before="120"/>
      <w:outlineLvl w:val="0"/>
    </w:pPr>
    <w:rPr>
      <w:rFonts w:ascii="Georgia" w:cs="Georgia" w:eastAsia="Georgia" w:hAnsi="Georgia"/>
      <w:b/>
      <w:bCs/>
      <w:color w:val="21272E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40"/>
      <w:outlineLvl w:val="1"/>
    </w:pPr>
    <w:rPr>
      <w:rFonts w:ascii="Georgia" w:cs="Georgia" w:eastAsia="Georgia" w:hAnsi="Georgia"/>
      <w:b/>
      <w:bCs/>
      <w:color w:val="0E7C6B"/>
      <w:sz w:val="25"/>
      <w:szCs w:val="25"/>
    </w:rPr>
  </w:style>
  <w:style w:type="paragraph" w:styleId="Heading3">
    <w:name w:val="Heading 3"/>
    <w:basedOn w:val="Normal"/>
    <w:next w:val="Normal"/>
    <w:pPr>
      <w:keepNext/>
      <w:spacing w:after="100" w:before="180"/>
      <w:outlineLvl w:val="2"/>
    </w:pPr>
    <w:rPr>
      <w:rFonts w:ascii="Georgia" w:cs="Georgia" w:eastAsia="Georgia" w:hAnsi="Georgia"/>
      <w:b/>
      <w:bCs/>
      <w:color w:val="5B65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2026-07-07T23:34:15.167Z</dcterms:created>
  <dcterms:modified xsi:type="dcterms:W3CDTF">2026-07-07T23:34:15.167Z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