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Platform Capability Checklist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Companion worksheet, non-normative. Fifteen tool-agnostic capabilities derived from the core and the metrics specification. Any platform or combination of platforms satisfying these can run the framework; none of them names a vendor. Use it to evaluate an incumbent stack or a candidate one, and record how each capability is met or compensated.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Organization:</w:t>
      </w:r>
      <w:r>
        <w:rPr>
          <w:b w:val="false"/>
          <w:bCs w:val="false"/>
          <w:i w:val="false"/>
          <w:iCs w:val="false"/>
        </w:rPr>
        <w:t xml:space="preserve"> [name]  </w:t>
      </w:r>
      <w:r>
        <w:rPr>
          <w:b/>
          <w:bCs/>
          <w:i w:val="false"/>
          <w:iCs w:val="false"/>
        </w:rPr>
        <w:t xml:space="preserve">Platform(s) evaluated:</w:t>
      </w:r>
      <w:r>
        <w:rPr>
          <w:b w:val="false"/>
          <w:bCs w:val="false"/>
          <w:i w:val="false"/>
          <w:iCs w:val="false"/>
        </w:rPr>
        <w:t xml:space="preserve"> [names] 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[date]  </w:t>
      </w:r>
      <w:r>
        <w:rPr>
          <w:b/>
          <w:bCs/>
          <w:i w:val="false"/>
          <w:iCs w:val="false"/>
        </w:rPr>
        <w:t xml:space="preserve">Assessor:</w:t>
      </w:r>
      <w:r>
        <w:rPr>
          <w:b w:val="false"/>
          <w:bCs w:val="false"/>
          <w:i w:val="false"/>
          <w:iCs w:val="false"/>
        </w:rPr>
        <w:t xml:space="preserve"> [role]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67"/>
        <w:gridCol w:w="1988"/>
        <w:gridCol w:w="1905"/>
      </w:tblGrid>
      <w:tr>
        <w:trPr>
          <w:tblHeader/>
        </w:trPr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#</w:t>
            </w:r>
          </w:p>
        </w:tc>
        <w:tc>
          <w:tcPr>
            <w:tcW w:type="dxa" w:w="4167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Capability</w:t>
            </w:r>
          </w:p>
        </w:tc>
        <w:tc>
          <w:tcPr>
            <w:tcW w:type="dxa" w:w="198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Derived from</w:t>
            </w:r>
          </w:p>
        </w:tc>
        <w:tc>
          <w:tcPr>
            <w:tcW w:type="dxa" w:w="1905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Met / compensated / gap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Consumes lifecycle events from authoritative sources, including leave, return, rehire, and conversion signals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S4; PS1, PS8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Applies a precedence rule where identity sources conflict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S4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Reproduces the in-scope inventory per resource class on request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S2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Governs at entitlement granularity where the scope register requires it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S3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Maintains a registry of non-human identities with a human owner per entry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S7; O7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Runs the request path with an approval chain by tier and a time bound per stage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PS3; P2, C4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Detects provisioning outside the request path by reconciliation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PS3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Presents certifiers with entitlement description, last use, and recorded justification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PS4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Constrains bulk approval, and logs it where permitted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PS4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Executes revocation with verification of removal in the target system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PS5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11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Maintains an exception register with expiry and owner per entry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PS6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12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Triggers out-of-cycle review on role change, departure, incident, and organizational change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C3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Records grant, revocation, and certification decision timestamps, and campaign completion dates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MS6; part III data model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14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Computes or exports the data for metrics over declared, constant windows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MS1 to MS4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416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Records delegations of approval authority as time-bounded and revocable</w:t>
            </w:r>
          </w:p>
        </w:tc>
        <w:tc>
          <w:tcPr>
            <w:tcW w:type="dxa" w:w="198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O6</w:t>
            </w:r>
          </w:p>
        </w:tc>
        <w:tc>
          <w:tcPr>
            <w:tcW w:type="dxa" w:w="190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Where a capability is met by a compensating process rather than the platform, record the process and its owner. A gap with no compensation is scope the program cannot govern yet, and it belongs in the tier-sequenced backlog (chapter 4).</w:t>
      </w:r>
    </w:p>
    <w:p>
      <w:pPr>
        <w:pBdr>
          <w:bottom w:val="single" w:color="C9CFD6" w:sz="6"/>
        </w:pBdr>
        <w:spacing w:after="200" w:before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Companion artifact, Open IGA Operating Framework, v0.1. Non-normative; where this worksheet and the core diverge, the core governs. Licensed under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72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200" w:before="120"/>
      <w:outlineLvl w:val="0"/>
    </w:pPr>
    <w:rPr>
      <w:rFonts w:ascii="Georgia" w:cs="Georgia" w:eastAsia="Georgia" w:hAnsi="Georgia"/>
      <w:b/>
      <w:bCs/>
      <w:color w:val="21272E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0E7C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after="100" w:before="180"/>
      <w:outlineLvl w:val="2"/>
    </w:pPr>
    <w:rPr>
      <w:rFonts w:ascii="Georgia" w:cs="Georgia" w:eastAsia="Georgia" w:hAnsi="Georgia"/>
      <w:b/>
      <w:bCs/>
      <w:color w:val="5B65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2026-07-07T23:34:15.610Z</dcterms:created>
  <dcterms:modified xsi:type="dcterms:W3CDTF">2026-07-07T23:34:15.610Z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