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Identity Governance and Administration Program Charter</w:t>
      </w:r>
    </w:p>
    <w:p>
      <w:pPr>
        <w:spacing w:after="140"/>
      </w:pPr>
      <w:r>
        <w:rPr>
          <w:b w:val="false"/>
          <w:bCs w:val="false"/>
          <w:i/>
          <w:iCs/>
        </w:rPr>
        <w:t xml:space="preserve">Template. Replace every bracketed field. Delete the italic guidance under each heading before you finalize. Keep the finished charter to one page.</w:t>
      </w:r>
    </w:p>
    <w:p>
      <w:pPr>
        <w:spacing w:after="140"/>
      </w:pPr>
      <w:r>
        <w:rPr>
          <w:b/>
          <w:bCs/>
          <w:i w:val="false"/>
          <w:iCs w:val="false"/>
        </w:rPr>
        <w:t xml:space="preserve">Organization:</w:t>
      </w:r>
      <w:r>
        <w:rPr>
          <w:b w:val="false"/>
          <w:bCs w:val="false"/>
          <w:i w:val="false"/>
          <w:iCs w:val="false"/>
        </w:rPr>
        <w:t xml:space="preserve"> [name] </w:t>
      </w:r>
      <w:r>
        <w:rPr>
          <w:b/>
          <w:bCs/>
          <w:i w:val="false"/>
          <w:iCs w:val="false"/>
        </w:rPr>
        <w:t xml:space="preserve">Program sponsor:</w:t>
      </w:r>
      <w:r>
        <w:rPr>
          <w:b w:val="false"/>
          <w:bCs w:val="false"/>
          <w:i w:val="false"/>
          <w:iCs w:val="false"/>
        </w:rPr>
        <w:t xml:space="preserve"> [name, title] </w:t>
      </w:r>
      <w:r>
        <w:rPr>
          <w:b/>
          <w:bCs/>
          <w:i w:val="false"/>
          <w:iCs w:val="false"/>
        </w:rPr>
        <w:t xml:space="preserve">Charter date:</w:t>
      </w:r>
      <w:r>
        <w:rPr>
          <w:b w:val="false"/>
          <w:bCs w:val="false"/>
          <w:i w:val="false"/>
          <w:iCs w:val="false"/>
        </w:rPr>
        <w:t xml:space="preserve"> [date] </w:t>
      </w:r>
      <w:r>
        <w:rPr>
          <w:b/>
          <w:bCs/>
          <w:i w:val="false"/>
          <w:iCs w:val="false"/>
        </w:rPr>
        <w:t xml:space="preserve">Next review:</w:t>
      </w:r>
      <w:r>
        <w:rPr>
          <w:b w:val="false"/>
          <w:bCs w:val="false"/>
          <w:i w:val="false"/>
          <w:iCs w:val="false"/>
        </w:rPr>
        <w:t xml:space="preserve"> [date, e.g. 12 months from the charter date]</w:t>
      </w:r>
    </w:p>
    <w:p>
      <w:pPr>
        <w:pStyle w:val="Heading2"/>
      </w:pPr>
      <w:r>
        <w:t xml:space="preserve">1. Purpose</w:t>
      </w:r>
    </w:p>
    <w:p>
      <w:pPr>
        <w:spacing w:after="140"/>
      </w:pPr>
      <w:r>
        <w:rPr>
          <w:b w:val="false"/>
          <w:bCs w:val="false"/>
          <w:i/>
          <w:iCs/>
        </w:rPr>
        <w:t xml:space="preserve">State the risk purpose first. Name the specific identity risk you are reducing. Treat compliance as an obligation the program satisfies, not as the reason it exists, so success is measured by risk response and the audit result follows from that.</w:t>
      </w:r>
    </w:p>
    <w:p>
      <w:pPr>
        <w:spacing w:after="140"/>
      </w:pPr>
      <w:r>
        <w:rPr>
          <w:b w:val="false"/>
          <w:bCs w:val="false"/>
          <w:i w:val="false"/>
          <w:iCs w:val="false"/>
        </w:rPr>
        <w:t xml:space="preserve">Primary purpose: reduce the risk of [e.g. unauthorized or excessive access to production and financial systems, standing privilege, orphaned accounts, gaps in the joiner, mover, and leaver process].</w:t>
      </w:r>
    </w:p>
    <w:p>
      <w:pPr>
        <w:spacing w:after="140"/>
      </w:pPr>
      <w:r>
        <w:rPr>
          <w:b w:val="false"/>
          <w:bCs w:val="false"/>
          <w:i w:val="false"/>
          <w:iCs w:val="false"/>
        </w:rPr>
        <w:t xml:space="preserve">Compliance obligations this program satisfies: [name the regulations or frameworks that apply to your sector, e.g. SOX, PCI DSS, HIPAA, ISO 27001, DORA. Verify each against its primary source before you name it.]</w:t>
      </w:r>
    </w:p>
    <w:p>
      <w:pPr>
        <w:spacing w:after="140"/>
      </w:pPr>
      <w:r>
        <w:rPr>
          <w:b w:val="false"/>
          <w:bCs w:val="false"/>
          <w:i w:val="false"/>
          <w:iCs w:val="false"/>
        </w:rPr>
        <w:t xml:space="preserve">Business drivers: [e.g. faster onboarding, shorter access request cycle time, reduction of licence cost from unused entitlements].</w:t>
      </w:r>
    </w:p>
    <w:p>
      <w:pPr>
        <w:pStyle w:val="Heading2"/>
      </w:pPr>
      <w:r>
        <w:t xml:space="preserve">2. Scope boundary</w:t>
      </w:r>
    </w:p>
    <w:p>
      <w:pPr>
        <w:spacing w:after="140"/>
      </w:pPr>
      <w:r>
        <w:rPr>
          <w:b w:val="false"/>
          <w:bCs w:val="false"/>
          <w:i/>
          <w:iCs/>
        </w:rPr>
        <w:t xml:space="preserve">High level only. Detailed scope is defined in a separate document. State what sits inside the boundary and what sits outside it.</w:t>
      </w:r>
    </w:p>
    <w:p>
      <w:pPr>
        <w:spacing w:after="140"/>
      </w:pPr>
      <w:r>
        <w:rPr>
          <w:b w:val="false"/>
          <w:bCs w:val="false"/>
          <w:i w:val="false"/>
          <w:iCs w:val="false"/>
        </w:rPr>
        <w:t xml:space="preserve">In scope: [e.g. workforce identity across production and financial systems]. Out of scope: [e.g. customer identity, non-production sandboxes].</w:t>
      </w:r>
    </w:p>
    <w:p>
      <w:pPr>
        <w:pStyle w:val="Heading2"/>
      </w:pPr>
      <w:r>
        <w:t xml:space="preserve">3. Authority</w:t>
      </w:r>
    </w:p>
    <w:p>
      <w:pPr>
        <w:spacing w:after="140"/>
      </w:pPr>
      <w:r>
        <w:rPr>
          <w:b w:val="false"/>
          <w:bCs w:val="false"/>
          <w:i/>
          <w:iCs/>
        </w:rPr>
        <w:t xml:space="preserve">This is what makes the program real. State the decisions the program owns and the actions it can compel. A charter without this section is a policy document rather than an operating mandate.</w:t>
      </w:r>
    </w:p>
    <w:p>
      <w:pPr>
        <w:spacing w:after="140"/>
      </w:pPr>
      <w:r>
        <w:rPr>
          <w:b w:val="false"/>
          <w:bCs w:val="false"/>
          <w:i w:val="false"/>
          <w:iCs w:val="false"/>
        </w:rPr>
        <w:t xml:space="preserve">This program holds the authority to:</w:t>
      </w:r>
    </w:p>
    <w:p>
      <w:pPr>
        <w:pStyle w:val="ListParagraph"/>
        <w:numPr>
          <w:ilvl w:val="0"/>
          <w:numId w:val="2"/>
        </w:numPr>
        <w:spacing w:after="60"/>
      </w:pPr>
      <w:r>
        <w:rPr>
          <w:b w:val="false"/>
          <w:bCs w:val="false"/>
          <w:i w:val="false"/>
          <w:iCs w:val="false"/>
        </w:rPr>
        <w:t xml:space="preserve">[require access reviews on a defined cadence]</w:t>
      </w:r>
    </w:p>
    <w:p>
      <w:pPr>
        <w:pStyle w:val="ListParagraph"/>
        <w:numPr>
          <w:ilvl w:val="0"/>
          <w:numId w:val="2"/>
        </w:numPr>
        <w:spacing w:after="60"/>
      </w:pPr>
      <w:r>
        <w:rPr>
          <w:b w:val="false"/>
          <w:bCs w:val="false"/>
          <w:i w:val="false"/>
          <w:iCs w:val="false"/>
        </w:rPr>
        <w:t xml:space="preserve">[revoke or suspend access that fails certification]</w:t>
      </w:r>
    </w:p>
    <w:p>
      <w:pPr>
        <w:pStyle w:val="ListParagraph"/>
        <w:numPr>
          <w:ilvl w:val="0"/>
          <w:numId w:val="2"/>
        </w:numPr>
        <w:spacing w:after="60"/>
      </w:pPr>
      <w:r>
        <w:rPr>
          <w:b w:val="false"/>
          <w:bCs w:val="false"/>
          <w:i w:val="false"/>
          <w:iCs w:val="false"/>
        </w:rPr>
        <w:t xml:space="preserve">[block or reverse provisioning that violates access policy]</w:t>
      </w:r>
    </w:p>
    <w:p>
      <w:pPr>
        <w:pStyle w:val="ListParagraph"/>
        <w:numPr>
          <w:ilvl w:val="0"/>
          <w:numId w:val="2"/>
        </w:numPr>
        <w:spacing w:after="60"/>
      </w:pPr>
      <w:r>
        <w:rPr>
          <w:b w:val="false"/>
          <w:bCs w:val="false"/>
          <w:i w:val="false"/>
          <w:iCs w:val="false"/>
        </w:rPr>
        <w:t xml:space="preserve">[require remediation of segregation-of-duties conflicts]</w:t>
      </w:r>
    </w:p>
    <w:p>
      <w:pPr>
        <w:pStyle w:val="Heading2"/>
      </w:pPr>
      <w:r>
        <w:t xml:space="preserve">4. Accountability</w:t>
      </w:r>
    </w:p>
    <w:p>
      <w:pPr>
        <w:spacing w:after="140"/>
      </w:pPr>
      <w:r>
        <w:rPr>
          <w:b w:val="false"/>
          <w:bCs w:val="false"/>
          <w:i/>
          <w:iCs/>
        </w:rPr>
        <w:t xml:space="preserve">Who the program answers to, what it reports, and how often.</w:t>
      </w:r>
    </w:p>
    <w:p>
      <w:pPr>
        <w:spacing w:after="140"/>
      </w:pPr>
      <w:r>
        <w:rPr>
          <w:b w:val="false"/>
          <w:bCs w:val="false"/>
          <w:i w:val="false"/>
          <w:iCs w:val="false"/>
        </w:rPr>
        <w:t xml:space="preserve">Accountable to: [e.g. the CISO, a risk committee, or the board]. Reports [e.g. access risk metrics, certification completion, standing exceptions] on a [monthly or quarterly] cycle.</w:t>
      </w:r>
    </w:p>
    <w:p>
      <w:pPr>
        <w:pStyle w:val="Heading2"/>
      </w:pPr>
      <w:r>
        <w:t xml:space="preserve">5. Guiding principles</w:t>
      </w:r>
    </w:p>
    <w:p>
      <w:pPr>
        <w:pStyle w:val="ListParagraph"/>
        <w:numPr>
          <w:ilvl w:val="0"/>
          <w:numId w:val="2"/>
        </w:numPr>
        <w:spacing w:after="60"/>
      </w:pPr>
      <w:r>
        <w:rPr>
          <w:b w:val="false"/>
          <w:bCs w:val="false"/>
          <w:i w:val="false"/>
          <w:iCs w:val="false"/>
        </w:rPr>
        <w:t xml:space="preserve">Access is granted on the principle of least privilege.</w:t>
      </w:r>
    </w:p>
    <w:p>
      <w:pPr>
        <w:pStyle w:val="ListParagraph"/>
        <w:numPr>
          <w:ilvl w:val="0"/>
          <w:numId w:val="2"/>
        </w:numPr>
        <w:spacing w:after="60"/>
      </w:pPr>
      <w:r>
        <w:rPr>
          <w:b w:val="false"/>
          <w:bCs w:val="false"/>
          <w:i w:val="false"/>
          <w:iCs w:val="false"/>
        </w:rPr>
        <w:t xml:space="preserve">Every entitlement is tied to a valid and current reason.</w:t>
      </w:r>
    </w:p>
    <w:p>
      <w:pPr>
        <w:pStyle w:val="ListParagraph"/>
        <w:numPr>
          <w:ilvl w:val="0"/>
          <w:numId w:val="2"/>
        </w:numPr>
        <w:spacing w:after="60"/>
      </w:pPr>
      <w:r>
        <w:rPr>
          <w:b w:val="false"/>
          <w:bCs w:val="false"/>
          <w:i w:val="false"/>
          <w:iCs w:val="false"/>
        </w:rPr>
        <w:t xml:space="preserve">[Segregation of duties is enforced where the sector or a regulation requires it.]</w:t>
      </w:r>
    </w:p>
    <w:p>
      <w:pPr>
        <w:pStyle w:val="ListParagraph"/>
        <w:numPr>
          <w:ilvl w:val="0"/>
          <w:numId w:val="2"/>
        </w:numPr>
        <w:spacing w:after="60"/>
      </w:pPr>
      <w:r>
        <w:rPr>
          <w:b w:val="false"/>
          <w:bCs w:val="false"/>
          <w:i w:val="false"/>
          <w:iCs w:val="false"/>
        </w:rPr>
        <w:t xml:space="preserve">[Add or remove principles to fit the organization.]</w:t>
      </w:r>
    </w:p>
    <w:p>
      <w:pPr>
        <w:pStyle w:val="Heading2"/>
      </w:pPr>
      <w:r>
        <w:t xml:space="preserve">6. Remediation mandate (brownfield only)</w:t>
      </w:r>
    </w:p>
    <w:p>
      <w:pPr>
        <w:spacing w:after="140"/>
      </w:pPr>
      <w:r>
        <w:rPr>
          <w:b w:val="false"/>
          <w:bCs w:val="false"/>
          <w:i/>
          <w:iCs/>
        </w:rPr>
        <w:t xml:space="preserve">Include this section only if the program inherits an existing estate with accumulated access. Delete it for a greenfield start. A steady-state governance mandate on its own will not clear existing access debt.</w:t>
      </w:r>
    </w:p>
    <w:p>
      <w:pPr>
        <w:spacing w:after="140"/>
      </w:pPr>
      <w:r>
        <w:rPr>
          <w:b w:val="false"/>
          <w:bCs w:val="false"/>
          <w:i w:val="false"/>
          <w:iCs w:val="false"/>
        </w:rPr>
        <w:t xml:space="preserve">Time-boxed remediation: clear [orphaned accounts, excessive entitlements, and stale access] within [timeframe], with progress reported to the sponsor at [interval].</w:t>
      </w:r>
    </w:p>
    <w:p>
      <w:pPr>
        <w:pStyle w:val="Heading2"/>
      </w:pPr>
      <w:r>
        <w:t xml:space="preserve">Resources (M9)</w:t>
      </w:r>
    </w:p>
    <w:p>
      <w:pPr>
        <w:spacing w:after="140"/>
      </w:pPr>
      <w:r>
        <w:rPr>
          <w:b/>
          <w:bCs/>
          <w:i w:val="false"/>
          <w:iCs w:val="false"/>
        </w:rPr>
        <w:t xml:space="preserve">Funding source:</w:t>
      </w:r>
      <w:r>
        <w:rPr>
          <w:b w:val="false"/>
          <w:bCs w:val="false"/>
          <w:i w:val="false"/>
          <w:iCs w:val="false"/>
        </w:rPr>
        <w:t xml:space="preserve"> [budget line or sponsor commitment] </w:t>
      </w:r>
      <w:r>
        <w:rPr>
          <w:b/>
          <w:bCs/>
          <w:i w:val="false"/>
          <w:iCs w:val="false"/>
        </w:rPr>
        <w:t xml:space="preserve">Capacity:</w:t>
      </w:r>
      <w:r>
        <w:rPr>
          <w:b w:val="false"/>
          <w:bCs w:val="false"/>
          <w:i w:val="false"/>
          <w:iCs w:val="false"/>
        </w:rPr>
        <w:t xml:space="preserve"> [named roles and their allocation] </w:t>
      </w:r>
      <w:r>
        <w:rPr>
          <w:b/>
          <w:bCs/>
          <w:i w:val="false"/>
          <w:iCs w:val="false"/>
        </w:rPr>
        <w:t xml:space="preserve">Revisit trigger:</w:t>
      </w:r>
      <w:r>
        <w:rPr>
          <w:b w:val="false"/>
          <w:bCs w:val="false"/>
          <w:i w:val="false"/>
          <w:iCs w:val="false"/>
        </w:rPr>
        <w:t xml:space="preserve"> scope growth past [threshold] reopens this section</w:t>
      </w:r>
    </w:p>
    <w:p>
      <w:pPr>
        <w:pStyle w:val="Heading2"/>
      </w:pPr>
      <w:r>
        <w:t xml:space="preserve">Approval</w:t>
      </w:r>
    </w:p>
    <w:p>
      <w:pPr>
        <w:spacing w:after="140"/>
      </w:pPr>
      <w:r>
        <w:rPr>
          <w:b w:val="false"/>
          <w:bCs w:val="false"/>
          <w:i w:val="false"/>
          <w:iCs w:val="false"/>
        </w:rPr>
        <w:t xml:space="preserve">By signing, the sponsor grants this program the authority stated in section 3 and accepts the accountability stated in section 4.</w:t>
      </w:r>
    </w:p>
    <w:p>
      <w:pPr>
        <w:spacing w:after="140"/>
      </w:pPr>
      <w:r>
        <w:rPr>
          <w:b w:val="false"/>
          <w:bCs w:val="false"/>
          <w:i w:val="false"/>
          <w:iCs w:val="false"/>
        </w:rPr>
        <w:t xml:space="preserve">Sponsor signature: ______________________  Name: [name]  Title: [title]  Date: [date]</w:t>
      </w:r>
    </w:p>
    <w:p>
      <w:pPr>
        <w:pBdr>
          <w:bottom w:val="single" w:color="C9CFD6" w:sz="6"/>
        </w:pBdr>
        <w:spacing w:after="200" w:before="200"/>
      </w:pPr>
    </w:p>
    <w:p>
      <w:pPr>
        <w:spacing w:after="140"/>
      </w:pPr>
      <w:r>
        <w:rPr>
          <w:b w:val="false"/>
          <w:bCs w:val="false"/>
          <w:i/>
          <w:iCs/>
        </w:rPr>
        <w:t xml:space="preserve">Charter template, Open IGA Operating Framework, v0.1. Licensed under CC BY 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72E"/>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200" w:before="120"/>
      <w:outlineLvl w:val="0"/>
    </w:pPr>
    <w:rPr>
      <w:rFonts w:ascii="Georgia" w:cs="Georgia" w:eastAsia="Georgia" w:hAnsi="Georgia"/>
      <w:b/>
      <w:bCs/>
      <w:color w:val="21272E"/>
      <w:sz w:val="32"/>
      <w:szCs w:val="32"/>
    </w:rPr>
  </w:style>
  <w:style w:type="paragraph" w:styleId="Heading2">
    <w:name w:val="Heading 2"/>
    <w:basedOn w:val="Normal"/>
    <w:next w:val="Normal"/>
    <w:pPr>
      <w:keepNext/>
      <w:spacing w:after="120" w:before="240"/>
      <w:outlineLvl w:val="1"/>
    </w:pPr>
    <w:rPr>
      <w:rFonts w:ascii="Georgia" w:cs="Georgia" w:eastAsia="Georgia" w:hAnsi="Georgia"/>
      <w:b/>
      <w:bCs/>
      <w:color w:val="0E7C6B"/>
      <w:sz w:val="25"/>
      <w:szCs w:val="25"/>
    </w:rPr>
  </w:style>
  <w:style w:type="paragraph" w:styleId="Heading3">
    <w:name w:val="Heading 3"/>
    <w:basedOn w:val="Normal"/>
    <w:next w:val="Normal"/>
    <w:pPr>
      <w:keepNext/>
      <w:spacing w:after="100" w:before="180"/>
      <w:outlineLvl w:val="2"/>
    </w:pPr>
    <w:rPr>
      <w:rFonts w:ascii="Georgia" w:cs="Georgia" w:eastAsia="Georgia" w:hAnsi="Georgia"/>
      <w:b/>
      <w:bCs/>
      <w:color w:val="5B65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2026-07-07T23:34:13.804Z</dcterms:created>
  <dcterms:modified xsi:type="dcterms:W3CDTF">2026-07-07T23:34:13.817Z</dcterms:modified>
</cp:coreProperties>
</file>

<file path=docProps/custom.xml><?xml version="1.0" encoding="utf-8"?>
<Properties xmlns="http://schemas.openxmlformats.org/officeDocument/2006/custom-properties" xmlns:vt="http://schemas.openxmlformats.org/officeDocument/2006/docPropsVTypes"/>
</file>