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Scope Register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Companion worksheet for chapter 3 (Scope). Replace bracketed fields, delete guidance in italics. Statements referenced: S1 to S7.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Organization:</w:t>
      </w:r>
      <w:r>
        <w:rPr>
          <w:b w:val="false"/>
          <w:bCs w:val="false"/>
          <w:i w:val="false"/>
          <w:iCs w:val="false"/>
        </w:rPr>
        <w:t xml:space="preserve"> [name]  </w:t>
      </w:r>
      <w:r>
        <w:rPr>
          <w:b/>
          <w:bCs/>
          <w:i w:val="false"/>
          <w:iCs w:val="false"/>
        </w:rPr>
        <w:t xml:space="preserve">Register version:</w:t>
      </w:r>
      <w:r>
        <w:rPr>
          <w:b w:val="false"/>
          <w:bCs w:val="false"/>
          <w:i w:val="false"/>
          <w:iCs w:val="false"/>
        </w:rPr>
        <w:t xml:space="preserve"> [n]  </w:t>
      </w:r>
      <w:r>
        <w:rPr>
          <w:b/>
          <w:bCs/>
          <w:i w:val="false"/>
          <w:iCs w:val="false"/>
        </w:rPr>
        <w:t xml:space="preserve">Date:</w:t>
      </w:r>
      <w:r>
        <w:rPr>
          <w:b w:val="false"/>
          <w:bCs w:val="false"/>
          <w:i w:val="false"/>
          <w:iCs w:val="false"/>
        </w:rPr>
        <w:t xml:space="preserve"> [date]  </w:t>
      </w:r>
      <w:r>
        <w:rPr>
          <w:b/>
          <w:bCs/>
          <w:i w:val="false"/>
          <w:iCs w:val="false"/>
        </w:rPr>
        <w:t xml:space="preserve">Owner:</w:t>
      </w:r>
      <w:r>
        <w:rPr>
          <w:b w:val="false"/>
          <w:bCs w:val="false"/>
          <w:i w:val="false"/>
          <w:iCs w:val="false"/>
        </w:rPr>
        <w:t xml:space="preserve"> [role]</w:t>
      </w:r>
    </w:p>
    <w:p>
      <w:pPr>
        <w:pStyle w:val="Heading2"/>
      </w:pPr>
      <w:r>
        <w:t xml:space="preserve">1. Identity populations (S1, S4)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Every population is declared in or out. A population declared neither way is a defect. Each in-scope population names its authoritative source; where two sources conflict, record which one wins.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5"/>
        <w:gridCol w:w="3034"/>
        <w:gridCol w:w="2001"/>
        <w:gridCol w:w="1300"/>
      </w:tblGrid>
      <w:tr>
        <w:trPr>
          <w:tblHeader/>
        </w:trPr>
        <w:tc>
          <w:tcPr>
            <w:tcW w:type="dxa" w:w="3025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Population</w:t>
            </w:r>
          </w:p>
        </w:tc>
        <w:tc>
          <w:tcPr>
            <w:tcW w:type="dxa" w:w="3034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In / Out</w:t>
            </w:r>
          </w:p>
        </w:tc>
        <w:tc>
          <w:tcPr>
            <w:tcW w:type="dxa" w:w="2001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Authoritative source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Precedence note</w:t>
            </w:r>
          </w:p>
        </w:tc>
      </w:tr>
      <w:tr>
        <w:trPr>
          <w:tblHeader w:val="false"/>
        </w:trPr>
        <w:tc>
          <w:tcPr>
            <w:tcW w:type="dxa" w:w="302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Workforce: employees</w:t>
            </w:r>
          </w:p>
        </w:tc>
        <w:tc>
          <w:tcPr>
            <w:tcW w:type="dxa" w:w="303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[in/out]</w:t>
            </w:r>
          </w:p>
        </w:tc>
        <w:tc>
          <w:tcPr>
            <w:tcW w:type="dxa" w:w="200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[e.g. HR system]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302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Workforce: contractors</w:t>
            </w:r>
          </w:p>
        </w:tc>
        <w:tc>
          <w:tcPr>
            <w:tcW w:type="dxa" w:w="303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[in/out]</w:t>
            </w:r>
          </w:p>
        </w:tc>
        <w:tc>
          <w:tcPr>
            <w:tcW w:type="dxa" w:w="200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[e.g. vendor management system]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302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External: partners, vendors</w:t>
            </w:r>
          </w:p>
        </w:tc>
        <w:tc>
          <w:tcPr>
            <w:tcW w:type="dxa" w:w="303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[in/out]</w:t>
            </w:r>
          </w:p>
        </w:tc>
        <w:tc>
          <w:tcPr>
            <w:tcW w:type="dxa" w:w="200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[source]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302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Non-human: service accounts, keys, workloads, agents</w:t>
            </w:r>
          </w:p>
        </w:tc>
        <w:tc>
          <w:tcPr>
            <w:tcW w:type="dxa" w:w="303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[in/out]</w:t>
            </w:r>
          </w:p>
        </w:tc>
        <w:tc>
          <w:tcPr>
            <w:tcW w:type="dxa" w:w="200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[registry]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3025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Customer</w:t>
            </w:r>
          </w:p>
        </w:tc>
        <w:tc>
          <w:tcPr>
            <w:tcW w:type="dxa" w:w="303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[in/out, usually out: separate CIAM discipline]</w:t>
            </w:r>
          </w:p>
        </w:tc>
        <w:tc>
          <w:tcPr>
            <w:tcW w:type="dxa" w:w="2001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2. Resource classes (S2, S3)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Each class names the inventory it can be reproduced from and the granularity at which it is governed. Drift below the chosen granularity is invisible; high-risk classes should sit at entitlement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4"/>
        <w:gridCol w:w="1922"/>
        <w:gridCol w:w="3714"/>
        <w:gridCol w:w="1300"/>
      </w:tblGrid>
      <w:tr>
        <w:trPr>
          <w:tblHeader/>
        </w:trPr>
        <w:tc>
          <w:tcPr>
            <w:tcW w:type="dxa" w:w="2424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Resource class</w:t>
            </w:r>
          </w:p>
        </w:tc>
        <w:tc>
          <w:tcPr>
            <w:tcW w:type="dxa" w:w="1922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Authoritative inventory</w:t>
            </w:r>
          </w:p>
        </w:tc>
        <w:tc>
          <w:tcPr>
            <w:tcW w:type="dxa" w:w="3714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Granularity (account / role or group / entitlement)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42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[e.g. financial applications]</w:t>
            </w:r>
          </w:p>
        </w:tc>
        <w:tc>
          <w:tcPr>
            <w:tcW w:type="dxa" w:w="1922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[e.g. CMDB]</w:t>
            </w:r>
          </w:p>
        </w:tc>
        <w:tc>
          <w:tcPr>
            <w:tcW w:type="dxa" w:w="371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[level]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42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[e.g. SaaS]</w:t>
            </w:r>
          </w:p>
        </w:tc>
        <w:tc>
          <w:tcPr>
            <w:tcW w:type="dxa" w:w="1922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371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tblHeader w:val="false"/>
        </w:trPr>
        <w:tc>
          <w:tcPr>
            <w:tcW w:type="dxa" w:w="242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[e.g. infrastructure]</w:t>
            </w:r>
          </w:p>
        </w:tc>
        <w:tc>
          <w:tcPr>
            <w:tcW w:type="dxa" w:w="1922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371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3. Onboarding gate (S5)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No system enters scope without passing this gate.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Owner assigned (chapter 2, O5)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Tier assigned (chapter 4, P1)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Inventory source confirmed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Granularity set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Entry date recorded in this register</w:t>
      </w:r>
    </w:p>
    <w:p>
      <w:pPr>
        <w:pStyle w:val="Heading2"/>
      </w:pPr>
      <w:r>
        <w:t xml:space="preserve">4. Exclusions (S6)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8"/>
        <w:gridCol w:w="2478"/>
        <w:gridCol w:w="3304"/>
      </w:tblGrid>
      <w:tr>
        <w:trPr>
          <w:tblHeader/>
        </w:trPr>
        <w:tc>
          <w:tcPr>
            <w:tcW w:type="dxa" w:w="357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Excluded item</w:t>
            </w:r>
          </w:p>
        </w:tc>
        <w:tc>
          <w:tcPr>
            <w:tcW w:type="dxa" w:w="247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Rationale</w:t>
            </w:r>
          </w:p>
        </w:tc>
        <w:tc>
          <w:tcPr>
            <w:tcW w:type="dxa" w:w="3304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Revisit date</w:t>
            </w:r>
          </w:p>
        </w:tc>
      </w:tr>
      <w:tr>
        <w:trPr>
          <w:tblHeader w:val="false"/>
        </w:trPr>
        <w:tc>
          <w:tcPr>
            <w:tcW w:type="dxa" w:w="35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247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330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spacing w:after="160"/>
      </w:pPr>
    </w:p>
    <w:p>
      <w:pPr>
        <w:pStyle w:val="Heading2"/>
      </w:pPr>
      <w:r>
        <w:t xml:space="preserve">5. Discovery debt (S7)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Unknown non-human populations are recorded here as debt with an owner and a bound, and they are treated as out of scope until discovered.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2"/>
        <w:gridCol w:w="1300"/>
        <w:gridCol w:w="1418"/>
      </w:tblGrid>
      <w:tr>
        <w:trPr>
          <w:tblHeader/>
        </w:trPr>
        <w:tc>
          <w:tcPr>
            <w:tcW w:type="dxa" w:w="6642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Unknown</w:t>
            </w:r>
          </w:p>
        </w:tc>
        <w:tc>
          <w:tcPr>
            <w:tcW w:type="dxa" w:w="1300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Owner</w:t>
            </w:r>
          </w:p>
        </w:tc>
        <w:tc>
          <w:tcPr>
            <w:tcW w:type="dxa" w:w="1418"/>
            <w:shd w:fill="F1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i w:val="false"/>
                <w:iCs w:val="false"/>
              </w:rPr>
              <w:t xml:space="preserve">Time bound</w:t>
            </w:r>
          </w:p>
        </w:tc>
      </w:tr>
      <w:tr>
        <w:trPr>
          <w:tblHeader w:val="false"/>
        </w:trPr>
        <w:tc>
          <w:tcPr>
            <w:tcW w:type="dxa" w:w="6642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[e.g. service account population in legacy estate]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[role]</w:t>
            </w:r>
          </w:p>
        </w:tc>
        <w:tc>
          <w:tcPr>
            <w:tcW w:type="dxa" w:w="141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[date]</w:t>
            </w:r>
          </w:p>
        </w:tc>
      </w:tr>
    </w:tbl>
    <w:p>
      <w:pPr>
        <w:spacing w:after="160"/>
      </w:pPr>
    </w:p>
    <w:p>
      <w:pPr>
        <w:pBdr>
          <w:bottom w:val="single" w:color="C9CFD6" w:sz="6"/>
        </w:pBdr>
        <w:spacing w:after="200" w:before="20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Companion artifact, Open IGA Operating Framework, v0.1. Non-normative; where this worksheet and the core diverge, the core governs. Licensed under CC BY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72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200" w:before="120"/>
      <w:outlineLvl w:val="0"/>
    </w:pPr>
    <w:rPr>
      <w:rFonts w:ascii="Georgia" w:cs="Georgia" w:eastAsia="Georgia" w:hAnsi="Georgia"/>
      <w:b/>
      <w:bCs/>
      <w:color w:val="21272E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/>
      <w:outlineLvl w:val="1"/>
    </w:pPr>
    <w:rPr>
      <w:rFonts w:ascii="Georgia" w:cs="Georgia" w:eastAsia="Georgia" w:hAnsi="Georgia"/>
      <w:b/>
      <w:bCs/>
      <w:color w:val="0E7C6B"/>
      <w:sz w:val="25"/>
      <w:szCs w:val="25"/>
    </w:rPr>
  </w:style>
  <w:style w:type="paragraph" w:styleId="Heading3">
    <w:name w:val="Heading 3"/>
    <w:basedOn w:val="Normal"/>
    <w:next w:val="Normal"/>
    <w:pPr>
      <w:keepNext/>
      <w:spacing w:after="100" w:before="180"/>
      <w:outlineLvl w:val="2"/>
    </w:pPr>
    <w:rPr>
      <w:rFonts w:ascii="Georgia" w:cs="Georgia" w:eastAsia="Georgia" w:hAnsi="Georgia"/>
      <w:b/>
      <w:bCs/>
      <w:color w:val="5B65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2026-07-07T23:34:14.200Z</dcterms:created>
  <dcterms:modified xsi:type="dcterms:W3CDTF">2026-07-07T23:34:14.200Z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