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Tier Criteria and On-Ramp Worksheet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Companion worksheet for chapter 4 (Prioritization). Replace bracketed fields, delete guidance in italics. Statements referenced: P1 to P6.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Organization:</w:t>
      </w:r>
      <w:r>
        <w:rPr>
          <w:b w:val="false"/>
          <w:bCs w:val="false"/>
          <w:i w:val="false"/>
          <w:iCs w:val="false"/>
        </w:rPr>
        <w:t xml:space="preserve"> [name]  </w:t>
      </w:r>
      <w:r>
        <w:rPr>
          <w:b/>
          <w:bCs/>
          <w:i w:val="false"/>
          <w:iCs w:val="false"/>
        </w:rPr>
        <w:t xml:space="preserve">Version:</w:t>
      </w:r>
      <w:r>
        <w:rPr>
          <w:b w:val="false"/>
          <w:bCs w:val="false"/>
          <w:i w:val="false"/>
          <w:iCs w:val="false"/>
        </w:rPr>
        <w:t xml:space="preserve"> [n] 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[date]  </w:t>
      </w:r>
      <w:r>
        <w:rPr>
          <w:b/>
          <w:bCs/>
          <w:i w:val="false"/>
          <w:iCs w:val="false"/>
        </w:rPr>
        <w:t xml:space="preserve">Owner:</w:t>
      </w:r>
      <w:r>
        <w:rPr>
          <w:b w:val="false"/>
          <w:bCs w:val="false"/>
          <w:i w:val="false"/>
          <w:iCs w:val="false"/>
        </w:rPr>
        <w:t xml:space="preserve"> [role]</w:t>
      </w:r>
    </w:p>
    <w:p>
      <w:pPr>
        <w:pStyle w:val="Heading2"/>
      </w:pPr>
      <w:r>
        <w:t xml:space="preserve">1. Tier criteria (P1)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Write the criteria, then the attribute values that place a system in each tier. The criteria below are the typical set from P1; add or remove to fit. The framework sets no thresholds; the values are yours.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189"/>
        <w:gridCol w:w="1741"/>
        <w:gridCol w:w="1300"/>
        <w:gridCol w:w="1300"/>
      </w:tblGrid>
      <w:tr>
        <w:trPr>
          <w:tblHeader/>
        </w:trPr>
        <w:tc>
          <w:tcPr>
            <w:tcW w:type="dxa" w:w="283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Criterion</w:t>
            </w:r>
          </w:p>
        </w:tc>
        <w:tc>
          <w:tcPr>
            <w:tcW w:type="dxa" w:w="2189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Definition for this organization</w:t>
            </w:r>
          </w:p>
        </w:tc>
        <w:tc>
          <w:tcPr>
            <w:tcW w:type="dxa" w:w="1741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1 (highest)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2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3</w:t>
            </w:r>
          </w:p>
        </w:tc>
      </w:tr>
      <w:tr>
        <w:trPr>
          <w:tblHeader w:val="false"/>
        </w:trPr>
        <w:tc>
          <w:tcPr>
            <w:tcW w:type="dxa" w:w="283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Data sensitivity</w:t>
            </w:r>
          </w:p>
        </w:tc>
        <w:tc>
          <w:tcPr>
            <w:tcW w:type="dxa" w:w="2189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74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83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Privilege level</w:t>
            </w:r>
          </w:p>
        </w:tc>
        <w:tc>
          <w:tcPr>
            <w:tcW w:type="dxa" w:w="2189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74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83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Blast radius on compromise</w:t>
            </w:r>
          </w:p>
        </w:tc>
        <w:tc>
          <w:tcPr>
            <w:tcW w:type="dxa" w:w="2189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74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83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Regulatory materiality</w:t>
            </w:r>
          </w:p>
        </w:tc>
        <w:tc>
          <w:tcPr>
            <w:tcW w:type="dxa" w:w="2189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74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83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External exposure</w:t>
            </w:r>
          </w:p>
        </w:tc>
        <w:tc>
          <w:tcPr>
            <w:tcW w:type="dxa" w:w="2189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74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2. Tier to intensity mapping (P2)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This mapping feeds the cadence table (chapter 6, C1).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0"/>
        <w:gridCol w:w="1370"/>
        <w:gridCol w:w="1370"/>
        <w:gridCol w:w="1370"/>
      </w:tblGrid>
      <w:tr>
        <w:trPr>
          <w:tblHeader/>
        </w:trPr>
        <w:tc>
          <w:tcPr>
            <w:tcW w:type="dxa" w:w="525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Intensity dimension</w:t>
            </w:r>
          </w:p>
        </w:tc>
        <w:tc>
          <w:tcPr>
            <w:tcW w:type="dxa" w:w="137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1</w:t>
            </w:r>
          </w:p>
        </w:tc>
        <w:tc>
          <w:tcPr>
            <w:tcW w:type="dxa" w:w="137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2</w:t>
            </w:r>
          </w:p>
        </w:tc>
        <w:tc>
          <w:tcPr>
            <w:tcW w:type="dxa" w:w="137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Tier 3</w:t>
            </w:r>
          </w:p>
        </w:tc>
      </w:tr>
      <w:tr>
        <w:trPr>
          <w:tblHeader w:val="false"/>
        </w:trPr>
        <w:tc>
          <w:tcPr>
            <w:tcW w:type="dxa" w:w="52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Certification frequency</w:t>
            </w:r>
          </w:p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52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Approval depth</w:t>
            </w:r>
          </w:p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525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Review rigour</w:t>
            </w:r>
          </w:p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7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3. Sequencing rule (P3)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For any two in-scope systems, the one governed first is: [state the rule; it follows from tier].</w:t>
      </w:r>
    </w:p>
    <w:p>
      <w:pPr>
        <w:pStyle w:val="Heading2"/>
      </w:pPr>
      <w:r>
        <w:t xml:space="preserve">4. Default placements (P4)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Privileged access sits in the top tiers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Non-human identities sit in the top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If either is placed lower, rationale: [record it]</w:t>
      </w:r>
    </w:p>
    <w:p>
      <w:pPr>
        <w:pStyle w:val="Heading2"/>
      </w:pPr>
      <w:r>
        <w:t xml:space="preserve">5. Revisit cycle and triggers (P5)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Cycle: [e.g. annual]. Triggers: security incident, material architecture change, new regulatory obligation, [add others].</w:t>
      </w:r>
    </w:p>
    <w:p>
      <w:pPr>
        <w:pStyle w:val="Heading2"/>
      </w:pPr>
      <w:r>
        <w:t xml:space="preserve">6. On-ramp selector (P6)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Answer in order. The first yes selects the starting state; record it and the first move.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Question</w:t>
            </w:r>
          </w:p>
        </w:tc>
        <w:tc>
          <w:tcPr>
            <w:tcW w:type="dxa" w:w="468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If yes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Is part of the estate being rebuilt while the rest runs as-is?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Bluefield. First move: rank estate segments by risk reduction per unit of rebuild effort; hold the legacy estate under compensating governance (section 4.4).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Is there an accumulated estate of grants nobody has reviewed?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Brownfield. First move: baseline the top tier, remediate its orphaned accounts and excess entitlements first (section 4.4).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Neither: no governance layer exists yet?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Greenfield. First move: authoritative source and lifecycle spine, then privileged access, then tier-1 systems through the scope gate (section 4.4).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Selected on-ramp: [greenfield / bluefield / brownfield]  Recorded first move: [text]</w:t>
      </w:r>
    </w:p>
    <w:p>
      <w:pPr>
        <w:pBdr>
          <w:bottom w:val="single" w:color="C9CFD6" w:sz="6"/>
        </w:pBdr>
        <w:spacing w:after="200" w:before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Companion artifact, Open IGA Operating Framework, v0.1. Non-normative; where this worksheet and the core diverge, the core governs. Licensed under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72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200" w:before="120"/>
      <w:outlineLvl w:val="0"/>
    </w:pPr>
    <w:rPr>
      <w:rFonts w:ascii="Georgia" w:cs="Georgia" w:eastAsia="Georgia" w:hAnsi="Georgia"/>
      <w:b/>
      <w:bCs/>
      <w:color w:val="21272E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0E7C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after="100" w:before="180"/>
      <w:outlineLvl w:val="2"/>
    </w:pPr>
    <w:rPr>
      <w:rFonts w:ascii="Georgia" w:cs="Georgia" w:eastAsia="Georgia" w:hAnsi="Georgia"/>
      <w:b/>
      <w:bCs/>
      <w:color w:val="5B65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2026-07-07T23:34:14.715Z</dcterms:created>
  <dcterms:modified xsi:type="dcterms:W3CDTF">2026-07-07T23:34:14.715Z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