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9"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workload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typically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Workload identity credentials are issued under the authority of a trust domain, which maps to one or more trust anchors used to validate them.</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trust domain acts as the issuing authority for the workloads within it,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w:t>
      </w:r>
      <w:r>
        <w:t xml:space="preserve"> </w:t>
      </w:r>
      <w:r>
        <w:t xml:space="preserve">[</w:t>
      </w:r>
      <w:hyperlink w:anchor="RFC7523">
        <w:r>
          <w:rPr>
            <w:rStyle w:val="Hyperlink"/>
          </w:rPr>
          <w:t xml:space="preserve">RFC7523</w:t>
        </w:r>
      </w:hyperlink>
      <w:r>
        <w:t xml:space="preserve">]</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w:t>
      </w:r>
      <w:r>
        <w:t xml:space="preserve"> </w:t>
      </w:r>
      <w:r>
        <w:t xml:space="preserve">[</w:t>
      </w:r>
      <w:hyperlink w:anchor="RFC8705">
        <w:r>
          <w:rPr>
            <w:rStyle w:val="Hyperlink"/>
          </w:rPr>
          <w:t xml:space="preserve">RFC8705</w:t>
        </w:r>
      </w:hyperlink>
      <w:r>
        <w:t xml:space="preserve">]</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identity-state-events"/>
    <w:bookmarkStart w:id="236" w:name="section-2.3"/>
    <w:bookmarkStart w:id="235" w:name="name-workload-identity-state-eve"/>
    <w:p>
      <w:pPr>
        <w:pStyle w:val="Heading3"/>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p>
      <w:pPr>
        <w:pStyle w:val="FirstParagraph"/>
      </w:pPr>
      <w:r>
        <w:t xml:space="preserve">These events signal changes to the state of a workload identity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identity. The authority will no longer issue credentials for this workload. Existing credentials MAY still be valid until their natural expiry unless explicitly revoked.</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identity is active again. The trust domain authority will resume issuing credentials for this workload.</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identity has been permanently removed from the trust domain. This is irreversible. The identity will not be re-issued. All credentials previously issued for this workload MUST be considered invalid.</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 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3" w:name="sec-combined-references"/>
    <w:bookmarkStart w:id="472" w:name="section-7"/>
    <w:bookmarkStart w:id="471"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61" w:name="sec-normative-references"/>
    <w:bookmarkStart w:id="460" w:name="section-7.1"/>
    <w:bookmarkStart w:id="459"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[RFC7523]</w:t>
      </w:r>
    </w:p>
    <w:p>
      <w:pPr>
        <w:pStyle w:val="Definition"/>
      </w:pPr>
      <w:r>
        <w:t xml:space="preserve">Jones, M.</w:t>
      </w:r>
      <w:r>
        <w:t xml:space="preserve">,</w:t>
      </w:r>
      <w:r>
        <w:t xml:space="preserve"> </w:t>
      </w:r>
      <w:r>
        <w:t xml:space="preserve">Campbell, B.</w:t>
      </w:r>
      <w:r>
        <w:t xml:space="preserve">, and</w:t>
      </w:r>
      <w:r>
        <w:t xml:space="preserve"> </w:t>
      </w:r>
      <w:r>
        <w:t xml:space="preserve">C. Mortimore</w:t>
      </w:r>
      <w:r>
        <w:t xml:space="preserve">,</w:t>
      </w:r>
      <w:r>
        <w:t xml:space="preserve"> </w:t>
      </w:r>
      <w:r>
        <w:t xml:space="preserve">"JSON Web Token (JWT) Profile for OAuth 2.0 Client Authentication and Authorization Grants"</w:t>
      </w:r>
      <w:r>
        <w:t xml:space="preserve">,</w:t>
      </w:r>
      <w:r>
        <w:t xml:space="preserve"> </w:t>
      </w:r>
      <w:r>
        <w:t xml:space="preserve">RFC 7523</w:t>
      </w:r>
      <w:r>
        <w:t xml:space="preserve">,</w:t>
      </w:r>
      <w:r>
        <w:t xml:space="preserve"> </w:t>
      </w:r>
      <w:r>
        <w:t xml:space="preserve">DOI 10.17487/RFC7523</w:t>
      </w:r>
      <w:r>
        <w:t xml:space="preserve">, May 2015,</w:t>
      </w:r>
      <w:r>
        <w:t xml:space="preserve"> </w:t>
      </w:r>
      <w:r>
        <w:t xml:space="preserve">&lt;</w:t>
      </w:r>
      <w:hyperlink r:id="rId447">
        <w:r>
          <w:rPr>
            <w:rStyle w:val="Hyperlink"/>
          </w:rPr>
          <w:t xml:space="preserve">https://www.rfc-editor.org/rfc/rfc7523</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8">
        <w:r>
          <w:rPr>
            <w:rStyle w:val="Hyperlink"/>
          </w:rPr>
          <w:t xml:space="preserve">https://www.rfc-editor.org/rfc/rfc8417</w:t>
        </w:r>
      </w:hyperlink>
      <w:r>
        <w:t xml:space="preserve">&gt;</w:t>
      </w:r>
      <w:r>
        <w:t xml:space="preserve">.</w:t>
      </w:r>
    </w:p>
    <w:p>
      <w:pPr>
        <w:pStyle w:val="DefinitionTerm"/>
      </w:pPr>
      <w:r>
        <w:t xml:space="preserve">[RFC8705]</w:t>
      </w:r>
    </w:p>
    <w:p>
      <w:pPr>
        <w:pStyle w:val="Definition"/>
      </w:pPr>
      <w:r>
        <w:t xml:space="preserve">Campbell, B.</w:t>
      </w:r>
      <w:r>
        <w:t xml:space="preserve">,</w:t>
      </w:r>
      <w:r>
        <w:t xml:space="preserve"> </w:t>
      </w:r>
      <w:r>
        <w:t xml:space="preserve">Bradley, J.</w:t>
      </w:r>
      <w:r>
        <w:t xml:space="preserve">,</w:t>
      </w:r>
      <w:r>
        <w:t xml:space="preserve"> </w:t>
      </w:r>
      <w:r>
        <w:t xml:space="preserve">Sakimura, N.</w:t>
      </w:r>
      <w:r>
        <w:t xml:space="preserve">, and</w:t>
      </w:r>
      <w:r>
        <w:t xml:space="preserve"> </w:t>
      </w:r>
      <w:r>
        <w:t xml:space="preserve">T. Lodderstedt</w:t>
      </w:r>
      <w:r>
        <w:t xml:space="preserve">,</w:t>
      </w:r>
      <w:r>
        <w:t xml:space="preserve"> </w:t>
      </w:r>
      <w:r>
        <w:t xml:space="preserve">"OAuth 2.0 Mutual-TLS Client Authentication and Certificate-Bound Access Tokens"</w:t>
      </w:r>
      <w:r>
        <w:t xml:space="preserve">,</w:t>
      </w:r>
      <w:r>
        <w:t xml:space="preserve"> </w:t>
      </w:r>
      <w:r>
        <w:t xml:space="preserve">RFC 8705</w:t>
      </w:r>
      <w:r>
        <w:t xml:space="preserve">,</w:t>
      </w:r>
      <w:r>
        <w:t xml:space="preserve"> </w:t>
      </w:r>
      <w:r>
        <w:t xml:space="preserve">DOI 10.17487/RFC8705</w:t>
      </w:r>
      <w:r>
        <w:t xml:space="preserve">, February 2020,</w:t>
      </w:r>
      <w:r>
        <w:t xml:space="preserve"> </w:t>
      </w:r>
      <w:r>
        <w:t xml:space="preserve">&lt;</w:t>
      </w:r>
      <w:hyperlink r:id="rId449">
        <w:r>
          <w:rPr>
            <w:rStyle w:val="Hyperlink"/>
          </w:rPr>
          <w:t xml:space="preserve">https://www.rfc-editor.org/rfc/rfc8705</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50">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51">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52">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3">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4">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5">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6">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7">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8">
        <w:r>
          <w:rPr>
            <w:rStyle w:val="Hyperlink"/>
          </w:rPr>
          <w:t xml:space="preserve">https://datatracker.ietf.org/doc/draft-ietf-wimse-wpt/</w:t>
        </w:r>
      </w:hyperlink>
      <w:r>
        <w:t xml:space="preserve">&gt;</w:t>
      </w:r>
      <w:r>
        <w:t xml:space="preserve">.</w:t>
      </w:r>
    </w:p>
    <w:bookmarkEnd w:id="459"/>
    <w:bookmarkEnd w:id="460"/>
    <w:bookmarkEnd w:id="461"/>
    <w:bookmarkStart w:id="470" w:name="sec-informative-references"/>
    <w:bookmarkStart w:id="469" w:name="section-7.2"/>
    <w:bookmarkStart w:id="468"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62">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3">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4">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5">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6">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7">
        <w:r>
          <w:rPr>
            <w:rStyle w:val="Hyperlink"/>
          </w:rPr>
          <w:t xml:space="preserve">https://www.cisa.gov/resources-tools/resources/minimum-requirements-vulnerability-exploitability-exchange-vex</w:t>
        </w:r>
      </w:hyperlink>
      <w:r>
        <w:t xml:space="preserve">&gt;</w:t>
      </w:r>
      <w:r>
        <w:t xml:space="preserve">.</w:t>
      </w:r>
    </w:p>
    <w:bookmarkEnd w:id="468"/>
    <w:bookmarkEnd w:id="469"/>
    <w:bookmarkEnd w:id="470"/>
    <w:bookmarkEnd w:id="471"/>
    <w:bookmarkEnd w:id="472"/>
    <w:bookmarkEnd w:id="473"/>
    <w:bookmarkStart w:id="476" w:name="acknowledgments"/>
    <w:bookmarkStart w:id="475" w:name="appendix-A"/>
    <w:bookmarkStart w:id="474"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4"/>
    <w:bookmarkEnd w:id="475"/>
    <w:bookmarkEnd w:id="476"/>
    <w:bookmarkStart w:id="482" w:name="document-history"/>
    <w:bookmarkStart w:id="481" w:name="appendix-B"/>
    <w:bookmarkStart w:id="480"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7" w:name="appendix-B-2.1"/>
    <w:p>
      <w:pPr>
        <w:numPr>
          <w:ilvl w:val="0"/>
          <w:numId w:val="1058"/>
        </w:numPr>
      </w:pPr>
      <w:r>
        <w:t xml:space="preserve">Added Supply Chain Events</w:t>
      </w:r>
      <w:hyperlink w:anchor="appendix-B-2.1.1">
        <w:r>
          <w:rPr>
            <w:rStyle w:val="Hyperlink"/>
          </w:rPr>
          <w:t xml:space="preserve">¶</w:t>
        </w:r>
      </w:hyperlink>
    </w:p>
    <w:bookmarkEnd w:id="477"/>
    <w:p>
      <w:pPr>
        <w:pStyle w:val="FirstParagraph"/>
      </w:pPr>
      <w:r>
        <w:t xml:space="preserve">-00</w:t>
      </w:r>
      <w:hyperlink w:anchor="appendix-B-3">
        <w:r>
          <w:rPr>
            <w:rStyle w:val="Hyperlink"/>
          </w:rPr>
          <w:t xml:space="preserve">¶</w:t>
        </w:r>
      </w:hyperlink>
    </w:p>
    <w:bookmarkStart w:id="478"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8"/>
    <w:bookmarkStart w:id="479" w:name="appendix-B-4.2"/>
    <w:p>
      <w:pPr>
        <w:numPr>
          <w:ilvl w:val="0"/>
          <w:numId w:val="1059"/>
        </w:numPr>
      </w:pPr>
      <w:r>
        <w:t xml:space="preserve">Initial draft.</w:t>
      </w:r>
      <w:hyperlink w:anchor="appendix-B-4.2.1">
        <w:r>
          <w:rPr>
            <w:rStyle w:val="Hyperlink"/>
          </w:rPr>
          <w:t xml:space="preserve">¶</w:t>
        </w:r>
      </w:hyperlink>
    </w:p>
    <w:bookmarkEnd w:id="479"/>
    <w:bookmarkEnd w:id="480"/>
    <w:bookmarkEnd w:id="481"/>
    <w:bookmarkEnd w:id="482"/>
    <w:bookmarkStart w:id="488" w:name="authors-addresses"/>
    <w:bookmarkStart w:id="487" w:name="appendix-C"/>
    <w:bookmarkStart w:id="486"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3">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4">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5">
        <w:r>
          <w:rPr>
            <w:rStyle w:val="Hyperlink"/>
          </w:rPr>
          <w:t xml:space="preserve">sean.odell@cvshealth.com</w:t>
        </w:r>
      </w:hyperlink>
    </w:p>
    <w:bookmarkEnd w:id="486"/>
    <w:bookmarkEnd w:id="487"/>
    <w:bookmarkEnd w:id="488"/>
    <w:bookmarkEnd w:id="4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workload identity lifecycle as described in the WIMSE architecture . </dc:description>
  <dc:language>en</dc:language>
  <cp:keywords/>
  <dcterms:created xsi:type="dcterms:W3CDTF">2026-07-16T13:51:12Z</dcterms:created>
  <dcterms:modified xsi:type="dcterms:W3CDTF">2026-07-16T13:51:12Z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