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p>
      <w:pPr>
        <w:pStyle w:val="Author"/>
      </w:pPr>
      <w:r>
        <w:t xml:space="preserve">Sean O'Dell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16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bookmarkEnd w:id="10"/>
    <w:bookmarkStart w:id="489"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workload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8" w:name="toc"/>
    <w:bookmarkStart w:id="67" w:name="section-toc.1"/>
    <w:p>
      <w:pPr>
        <w:pStyle w:val="BodyText"/>
      </w:pPr>
      <w:hyperlink w:anchor="Xa39a3ee5e6b4b0d3255bfef95601890afd80709">
        <w:r>
          <w:rPr>
            <w:rStyle w:val="Hyperlink"/>
          </w:rPr>
          <w:t xml:space="preserve">▲</w:t>
        </w:r>
      </w:hyperlink>
    </w:p>
    <w:bookmarkStart w:id="66"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7"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Start w:id="46"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4" w:name="section-toc.1-1.2.2.7.2.1"/>
    <w:p>
      <w:pPr>
        <w:numPr>
          <w:ilvl w:val="2"/>
          <w:numId w:val="1010"/>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4"/>
    <w:bookmarkStart w:id="45" w:name="section-toc.1-1.2.2.7.2.2"/>
    <w:p>
      <w:pPr>
        <w:numPr>
          <w:ilvl w:val="2"/>
          <w:numId w:val="1010"/>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5"/>
    <w:bookmarkEnd w:id="46"/>
    <w:bookmarkEnd w:id="47"/>
    <w:bookmarkStart w:id="50"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8" w:name="section-toc.1-1.3.2.1"/>
    <w:p>
      <w:pPr>
        <w:numPr>
          <w:ilvl w:val="1"/>
          <w:numId w:val="1011"/>
        </w:numPr>
      </w:pPr>
      <w:hyperlink w:anchor="section-3.1">
        <w:r>
          <w:rPr>
            <w:rStyle w:val="Hyperlink"/>
          </w:rPr>
          <w:t xml:space="preserve">3.1</w:t>
        </w:r>
      </w:hyperlink>
      <w:r>
        <w:t xml:space="preserve">.  </w:t>
      </w:r>
      <w:hyperlink w:anchor="name-uri-format">
        <w:r>
          <w:rPr>
            <w:rStyle w:val="Hyperlink"/>
          </w:rPr>
          <w:t xml:space="preserve">URI Format</w:t>
        </w:r>
      </w:hyperlink>
    </w:p>
    <w:bookmarkEnd w:id="48"/>
    <w:bookmarkStart w:id="49" w:name="section-toc.1-1.3.2.2"/>
    <w:p>
      <w:pPr>
        <w:numPr>
          <w:ilvl w:val="1"/>
          <w:numId w:val="1011"/>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9"/>
    <w:bookmarkEnd w:id="50"/>
    <w:bookmarkStart w:id="57"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51" w:name="section-toc.1-1.4.2.1"/>
    <w:p>
      <w:pPr>
        <w:numPr>
          <w:ilvl w:val="1"/>
          <w:numId w:val="1012"/>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51"/>
    <w:bookmarkStart w:id="52" w:name="section-toc.1-1.4.2.2"/>
    <w:p>
      <w:pPr>
        <w:numPr>
          <w:ilvl w:val="1"/>
          <w:numId w:val="1012"/>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52"/>
    <w:bookmarkStart w:id="53" w:name="section-toc.1-1.4.2.3"/>
    <w:p>
      <w:pPr>
        <w:numPr>
          <w:ilvl w:val="1"/>
          <w:numId w:val="1012"/>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3"/>
    <w:bookmarkStart w:id="54" w:name="section-toc.1-1.4.2.4"/>
    <w:p>
      <w:pPr>
        <w:numPr>
          <w:ilvl w:val="1"/>
          <w:numId w:val="1012"/>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4"/>
    <w:bookmarkStart w:id="55" w:name="section-toc.1-1.4.2.5"/>
    <w:p>
      <w:pPr>
        <w:numPr>
          <w:ilvl w:val="1"/>
          <w:numId w:val="1012"/>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5"/>
    <w:bookmarkStart w:id="56" w:name="section-toc.1-1.4.2.6"/>
    <w:p>
      <w:pPr>
        <w:numPr>
          <w:ilvl w:val="1"/>
          <w:numId w:val="1012"/>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6"/>
    <w:bookmarkEnd w:id="57"/>
    <w:bookmarkStart w:id="58"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8"/>
    <w:bookmarkStart w:id="59"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9"/>
    <w:bookmarkStart w:id="62"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60" w:name="section-toc.1-1.7.2.1"/>
    <w:p>
      <w:pPr>
        <w:numPr>
          <w:ilvl w:val="1"/>
          <w:numId w:val="1013"/>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60"/>
    <w:bookmarkStart w:id="61" w:name="section-toc.1-1.7.2.2"/>
    <w:p>
      <w:pPr>
        <w:numPr>
          <w:ilvl w:val="1"/>
          <w:numId w:val="1013"/>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61"/>
    <w:bookmarkEnd w:id="62"/>
    <w:bookmarkStart w:id="63" w:name="section-toc.1-1.8"/>
    <w:p>
      <w:pPr>
        <w:numPr>
          <w:ilvl w:val="0"/>
          <w:numId w:val="1001"/>
        </w:numPr>
      </w:pPr>
      <w:hyperlink w:anchor="appendix-A"/>
      <w:hyperlink w:anchor="name-acknowledgments">
        <w:r>
          <w:rPr>
            <w:rStyle w:val="Hyperlink"/>
          </w:rPr>
          <w:t xml:space="preserve">Acknowledgments</w:t>
        </w:r>
      </w:hyperlink>
    </w:p>
    <w:bookmarkEnd w:id="63"/>
    <w:bookmarkStart w:id="64" w:name="section-toc.1-1.9"/>
    <w:p>
      <w:pPr>
        <w:numPr>
          <w:ilvl w:val="0"/>
          <w:numId w:val="1001"/>
        </w:numPr>
      </w:pPr>
      <w:hyperlink w:anchor="appendix-B"/>
      <w:hyperlink w:anchor="name-document-history">
        <w:r>
          <w:rPr>
            <w:rStyle w:val="Hyperlink"/>
          </w:rPr>
          <w:t xml:space="preserve">Document History</w:t>
        </w:r>
      </w:hyperlink>
    </w:p>
    <w:bookmarkEnd w:id="64"/>
    <w:bookmarkStart w:id="65" w:name="section-toc.1-1.10"/>
    <w:p>
      <w:pPr>
        <w:numPr>
          <w:ilvl w:val="0"/>
          <w:numId w:val="1001"/>
        </w:numPr>
      </w:pPr>
      <w:hyperlink w:anchor="appendix-C"/>
      <w:hyperlink w:anchor="name-authors-addresses">
        <w:r>
          <w:rPr>
            <w:rStyle w:val="Hyperlink"/>
          </w:rPr>
          <w:t xml:space="preserve">Authors' Addresses</w:t>
        </w:r>
      </w:hyperlink>
    </w:p>
    <w:bookmarkEnd w:id="65"/>
    <w:bookmarkEnd w:id="66"/>
    <w:bookmarkEnd w:id="67"/>
    <w:bookmarkEnd w:id="68"/>
    <w:bookmarkStart w:id="90" w:name="introduction"/>
    <w:bookmarkStart w:id="89" w:name="section-1"/>
    <w:bookmarkStart w:id="88"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typically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6" w:name="scope"/>
    <w:bookmarkStart w:id="75" w:name="section-1.1"/>
    <w:bookmarkStart w:id="74"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9" w:name="section-1.1-2.1"/>
    <w:p>
      <w:pPr>
        <w:numPr>
          <w:ilvl w:val="0"/>
          <w:numId w:val="1014"/>
        </w:numPr>
      </w:pPr>
      <w:r>
        <w:t xml:space="preserve">Trust domain authorities to signal credential and key lifecycle changes to federated peers and relying parties.</w:t>
      </w:r>
      <w:hyperlink w:anchor="section-1.1-2.1.1">
        <w:r>
          <w:rPr>
            <w:rStyle w:val="Hyperlink"/>
          </w:rPr>
          <w:t xml:space="preserve">¶</w:t>
        </w:r>
      </w:hyperlink>
    </w:p>
    <w:bookmarkEnd w:id="69"/>
    <w:bookmarkStart w:id="70" w:name="section-1.1-2.2"/>
    <w:p>
      <w:pPr>
        <w:numPr>
          <w:ilvl w:val="0"/>
          <w:numId w:val="1014"/>
        </w:numPr>
      </w:pPr>
      <w:r>
        <w:t xml:space="preserve">Identity infrastructure components to communicate posture evaluation and policy changes that affect workload trust.</w:t>
      </w:r>
      <w:hyperlink w:anchor="section-1.1-2.2.1">
        <w:r>
          <w:rPr>
            <w:rStyle w:val="Hyperlink"/>
          </w:rPr>
          <w:t xml:space="preserve">¶</w:t>
        </w:r>
      </w:hyperlink>
    </w:p>
    <w:bookmarkEnd w:id="70"/>
    <w:bookmarkStart w:id="71" w:name="section-1.1-2.3"/>
    <w:p>
      <w:pPr>
        <w:numPr>
          <w:ilvl w:val="0"/>
          <w:numId w:val="1014"/>
        </w:numPr>
      </w:pPr>
      <w:r>
        <w:t xml:space="preserve">Cross-domain signaling of trust material updates that require immediate action by relying parties.</w:t>
      </w:r>
      <w:hyperlink w:anchor="section-1.1-2.3.1">
        <w:r>
          <w:rPr>
            <w:rStyle w:val="Hyperlink"/>
          </w:rPr>
          <w:t xml:space="preserve">¶</w:t>
        </w:r>
      </w:hyperlink>
    </w:p>
    <w:bookmarkEnd w:id="71"/>
    <w:bookmarkStart w:id="72" w:name="section-1.1-2.4"/>
    <w:p>
      <w:pPr>
        <w:numPr>
          <w:ilvl w:val="0"/>
          <w:numId w:val="1014"/>
        </w:numPr>
      </w:pPr>
      <w:r>
        <w:t xml:space="preserve">Runtime posture change notifications that may affect the trust evaluation of a workload.</w:t>
      </w:r>
      <w:hyperlink w:anchor="section-1.1-2.4.1">
        <w:r>
          <w:rPr>
            <w:rStyle w:val="Hyperlink"/>
          </w:rPr>
          <w:t xml:space="preserve">¶</w:t>
        </w:r>
      </w:hyperlink>
    </w:p>
    <w:bookmarkEnd w:id="72"/>
    <w:bookmarkStart w:id="73" w:name="section-1.1-2.5"/>
    <w:p>
      <w:pPr>
        <w:numPr>
          <w:ilvl w:val="0"/>
          <w:numId w:val="1014"/>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3"/>
    <w:bookmarkEnd w:id="74"/>
    <w:bookmarkEnd w:id="75"/>
    <w:bookmarkEnd w:id="76"/>
    <w:bookmarkStart w:id="84" w:name="alignment-with-wimse-architecture"/>
    <w:bookmarkStart w:id="83" w:name="section-1.2"/>
    <w:bookmarkStart w:id="82"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7" w:name="section-1.2-2.1"/>
    <w:p>
      <w:pPr>
        <w:numPr>
          <w:ilvl w:val="0"/>
          <w:numId w:val="1015"/>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7"/>
    <w:bookmarkStart w:id="78" w:name="section-1.2-2.2"/>
    <w:p>
      <w:pPr>
        <w:numPr>
          <w:ilvl w:val="0"/>
          <w:numId w:val="1015"/>
        </w:numPr>
      </w:pPr>
      <w:r>
        <w:t xml:space="preserve">Workload identity credentials are issued under the authority of a trust domain, which maps to one or more trust anchors used to validate them.</w:t>
      </w:r>
      <w:hyperlink w:anchor="section-1.2-2.2.1">
        <w:r>
          <w:rPr>
            <w:rStyle w:val="Hyperlink"/>
          </w:rPr>
          <w:t xml:space="preserve">¶</w:t>
        </w:r>
      </w:hyperlink>
    </w:p>
    <w:bookmarkEnd w:id="78"/>
    <w:bookmarkStart w:id="79" w:name="section-1.2-2.3"/>
    <w:p>
      <w:pPr>
        <w:numPr>
          <w:ilvl w:val="0"/>
          <w:numId w:val="1015"/>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9"/>
    <w:p>
      <w:pPr>
        <w:pStyle w:val="FirstParagraph"/>
      </w:pPr>
      <w:r>
        <w:t xml:space="preserve">Because a trust domain acts as the issuing authority for the workloads within it, WISE events are designed to signal state changes:</w:t>
      </w:r>
      <w:hyperlink w:anchor="section-1.2-3">
        <w:r>
          <w:rPr>
            <w:rStyle w:val="Hyperlink"/>
          </w:rPr>
          <w:t xml:space="preserve">¶</w:t>
        </w:r>
      </w:hyperlink>
    </w:p>
    <w:bookmarkStart w:id="80" w:name="section-1.2-4.1"/>
    <w:p>
      <w:pPr>
        <w:numPr>
          <w:ilvl w:val="0"/>
          <w:numId w:val="1016"/>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80"/>
    <w:bookmarkStart w:id="81" w:name="section-1.2-4.2"/>
    <w:p>
      <w:pPr>
        <w:numPr>
          <w:ilvl w:val="0"/>
          <w:numId w:val="1016"/>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81"/>
    <w:bookmarkEnd w:id="82"/>
    <w:bookmarkEnd w:id="83"/>
    <w:bookmarkEnd w:id="84"/>
    <w:bookmarkStart w:id="87" w:name="notational-conventions"/>
    <w:bookmarkStart w:id="86" w:name="section-1.3"/>
    <w:bookmarkStart w:id="85"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5"/>
    <w:bookmarkEnd w:id="86"/>
    <w:bookmarkEnd w:id="87"/>
    <w:bookmarkEnd w:id="88"/>
    <w:bookmarkEnd w:id="89"/>
    <w:bookmarkEnd w:id="90"/>
    <w:bookmarkStart w:id="400" w:name="event-types"/>
    <w:bookmarkStart w:id="399" w:name="section-2"/>
    <w:bookmarkStart w:id="39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91"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91"/>
    <w:bookmarkStart w:id="168" w:name="workload-credential-lifecycle-events"/>
    <w:bookmarkStart w:id="167" w:name="section-2.1"/>
    <w:bookmarkStart w:id="166"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11" w:name="credential-issued"/>
    <w:bookmarkStart w:id="110" w:name="section-2.1.1"/>
    <w:bookmarkStart w:id="109"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100" w:name="section-2.1.1-4.1"/>
    <w:p>
      <w:pPr>
        <w:numPr>
          <w:ilvl w:val="0"/>
          <w:numId w:val="1017"/>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92" w:name="section-2.1.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92"/>
    <w:bookmarkStart w:id="93" w:name="section-2.1.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93"/>
    <w:bookmarkStart w:id="94" w:name="section-2.1.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94"/>
    <w:bookmarkStart w:id="95" w:name="section-2.1.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5"/>
    <w:bookmarkStart w:id="96" w:name="section-2.1.1-4.1.2.5"/>
    <w:p>
      <w:pPr>
        <w:numPr>
          <w:ilvl w:val="1"/>
          <w:numId w:val="1018"/>
        </w:numPr>
      </w:pPr>
      <w:r>
        <w:rPr>
          <w:rStyle w:val="VerbatimChar"/>
        </w:rPr>
        <w:t xml:space="preserve">oauth_private_key_jwt</w:t>
      </w:r>
      <w:r>
        <w:t xml:space="preserve"> </w:t>
      </w:r>
      <w:r>
        <w:t xml:space="preserve">- OAuth 2.0 client authentication using private_key_jwt</w:t>
      </w:r>
      <w:r>
        <w:t xml:space="preserve"> </w:t>
      </w:r>
      <w:r>
        <w:t xml:space="preserve">[</w:t>
      </w:r>
      <w:hyperlink w:anchor="RFC7523">
        <w:r>
          <w:rPr>
            <w:rStyle w:val="Hyperlink"/>
          </w:rPr>
          <w:t xml:space="preserve">RFC7523</w:t>
        </w:r>
      </w:hyperlink>
      <w:r>
        <w:t xml:space="preserve">]</w:t>
      </w:r>
      <w:hyperlink w:anchor="section-2.1.1-4.1.2.5.1">
        <w:r>
          <w:rPr>
            <w:rStyle w:val="Hyperlink"/>
          </w:rPr>
          <w:t xml:space="preserve">¶</w:t>
        </w:r>
      </w:hyperlink>
    </w:p>
    <w:bookmarkEnd w:id="96"/>
    <w:bookmarkStart w:id="97" w:name="section-2.1.1-4.1.2.6"/>
    <w:p>
      <w:pPr>
        <w:numPr>
          <w:ilvl w:val="1"/>
          <w:numId w:val="1018"/>
        </w:numPr>
      </w:pPr>
      <w:r>
        <w:rPr>
          <w:rStyle w:val="VerbatimChar"/>
        </w:rPr>
        <w:t xml:space="preserve">oauth_mtls</w:t>
      </w:r>
      <w:r>
        <w:t xml:space="preserve"> </w:t>
      </w:r>
      <w:r>
        <w:t xml:space="preserve">- OAuth 2.0 mutual TLS client authentication</w:t>
      </w:r>
      <w:r>
        <w:t xml:space="preserve"> </w:t>
      </w:r>
      <w:r>
        <w:t xml:space="preserve">[</w:t>
      </w:r>
      <w:hyperlink w:anchor="RFC8705">
        <w:r>
          <w:rPr>
            <w:rStyle w:val="Hyperlink"/>
          </w:rPr>
          <w:t xml:space="preserve">RFC8705</w:t>
        </w:r>
      </w:hyperlink>
      <w:r>
        <w:t xml:space="preserve">]</w:t>
      </w:r>
      <w:hyperlink w:anchor="section-2.1.1-4.1.2.6.1">
        <w:r>
          <w:rPr>
            <w:rStyle w:val="Hyperlink"/>
          </w:rPr>
          <w:t xml:space="preserve">¶</w:t>
        </w:r>
      </w:hyperlink>
    </w:p>
    <w:bookmarkEnd w:id="97"/>
    <w:bookmarkStart w:id="98" w:name="section-2.1.1-4.1.2.7"/>
    <w:p>
      <w:pPr>
        <w:numPr>
          <w:ilvl w:val="1"/>
          <w:numId w:val="1018"/>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8"/>
    <w:bookmarkStart w:id="99" w:name="section-2.1.1-4.1.2.8"/>
    <w:p>
      <w:pPr>
        <w:numPr>
          <w:ilvl w:val="1"/>
          <w:numId w:val="1018"/>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9"/>
    <w:bookmarkEnd w:id="100"/>
    <w:bookmarkStart w:id="101" w:name="section-2.1.1-4.2"/>
    <w:p>
      <w:pPr>
        <w:numPr>
          <w:ilvl w:val="0"/>
          <w:numId w:val="1017"/>
        </w:numPr>
      </w:pPr>
      <w:r>
        <w:t xml:space="preserve">Additional values MAY be defined by profiling specifications or private agreement between Transmitter and Receiver.</w:t>
      </w:r>
      <w:hyperlink w:anchor="section-2.1.1-4.2.1">
        <w:r>
          <w:rPr>
            <w:rStyle w:val="Hyperlink"/>
          </w:rPr>
          <w:t xml:space="preserve">¶</w:t>
        </w:r>
      </w:hyperlink>
    </w:p>
    <w:bookmarkEnd w:id="101"/>
    <w:bookmarkStart w:id="102" w:name="section-2.1.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102"/>
    <w:bookmarkStart w:id="103" w:name="section-2.1.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103"/>
    <w:bookmarkStart w:id="104" w:name="section-2.1.1-4.5"/>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104"/>
    <w:p>
      <w:pPr>
        <w:pStyle w:val="FirstParagraph"/>
      </w:pPr>
      <w:r>
        <w:t xml:space="preserve">The following example is non-normative.</w:t>
      </w:r>
      <w:hyperlink w:anchor="section-2.1.1-5">
        <w:r>
          <w:rPr>
            <w:rStyle w:val="Hyperlink"/>
          </w:rPr>
          <w:t xml:space="preserve">¶</w:t>
        </w:r>
      </w:hyperlink>
    </w:p>
    <w:p>
      <w:pPr>
        <w:pStyle w:val="BodyText"/>
      </w:pPr>
      <w:bookmarkStart w:id="105" w:name="name-example-credential-issued"/>
      <w:bookmarkEnd w:id="105"/>
    </w:p>
    <w:bookmarkStart w:id="108" w:name="fig-credential-issued"/>
    <w:bookmarkStart w:id="107" w:name="figure-1"/>
    <w:tbl>
      <w:tblPr>
        <w:tblStyle w:val="FigureTable"/>
        <w:tblW w:type="auto" w:w="0"/>
        <w:jc w:val="center"/>
        <w:tblLook w:firstRow="0" w:lastRow="0" w:firstColumn="0" w:lastColumn="0"/>
      </w:tblPr>
      <w:tblGrid>
        <w:gridCol w:w="7920"/>
      </w:tblGrid>
      <w:tr>
        <w:tc>
          <w:tcPr/>
          <w:bookmarkStart w:id="106"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6"/>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7"/>
    <w:bookmarkEnd w:id="108"/>
    <w:bookmarkEnd w:id="109"/>
    <w:bookmarkEnd w:id="110"/>
    <w:bookmarkEnd w:id="111"/>
    <w:bookmarkStart w:id="123" w:name="credential-rotated"/>
    <w:bookmarkStart w:id="122" w:name="section-2.1.2"/>
    <w:bookmarkStart w:id="121"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12" w:name="section-2.1.2-4.1"/>
    <w:p>
      <w:pPr>
        <w:numPr>
          <w:ilvl w:val="0"/>
          <w:numId w:val="1019"/>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12"/>
    <w:bookmarkStart w:id="113" w:name="section-2.1.2-4.2"/>
    <w:p>
      <w:pPr>
        <w:numPr>
          <w:ilvl w:val="0"/>
          <w:numId w:val="1019"/>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13"/>
    <w:bookmarkStart w:id="114" w:name="section-2.1.2-4.3"/>
    <w:p>
      <w:pPr>
        <w:numPr>
          <w:ilvl w:val="0"/>
          <w:numId w:val="1019"/>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14"/>
    <w:bookmarkStart w:id="115" w:name="section-2.1.2-4.4"/>
    <w:p>
      <w:pPr>
        <w:numPr>
          <w:ilvl w:val="0"/>
          <w:numId w:val="1019"/>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5"/>
    <w:bookmarkStart w:id="116" w:name="section-2.1.2-4.5"/>
    <w:p>
      <w:pPr>
        <w:numPr>
          <w:ilvl w:val="0"/>
          <w:numId w:val="1019"/>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6"/>
    <w:p>
      <w:pPr>
        <w:pStyle w:val="FirstParagraph"/>
      </w:pPr>
      <w:r>
        <w:t xml:space="preserve">The following example is non-normative.</w:t>
      </w:r>
      <w:hyperlink w:anchor="section-2.1.2-5">
        <w:r>
          <w:rPr>
            <w:rStyle w:val="Hyperlink"/>
          </w:rPr>
          <w:t xml:space="preserve">¶</w:t>
        </w:r>
      </w:hyperlink>
    </w:p>
    <w:p>
      <w:pPr>
        <w:pStyle w:val="BodyText"/>
      </w:pPr>
      <w:bookmarkStart w:id="117" w:name="name-example-credential-rotated"/>
      <w:bookmarkEnd w:id="117"/>
    </w:p>
    <w:bookmarkStart w:id="120" w:name="fig-credential-rotated"/>
    <w:bookmarkStart w:id="119" w:name="figure-2"/>
    <w:tbl>
      <w:tblPr>
        <w:tblStyle w:val="FigureTable"/>
        <w:tblW w:type="auto" w:w="0"/>
        <w:jc w:val="center"/>
        <w:tblLook w:firstRow="0" w:lastRow="0" w:firstColumn="0" w:lastColumn="0"/>
      </w:tblPr>
      <w:tblGrid>
        <w:gridCol w:w="7920"/>
      </w:tblGrid>
      <w:tr>
        <w:tc>
          <w:tcPr/>
          <w:bookmarkStart w:id="118"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8"/>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9"/>
    <w:bookmarkEnd w:id="120"/>
    <w:bookmarkEnd w:id="121"/>
    <w:bookmarkEnd w:id="122"/>
    <w:bookmarkEnd w:id="123"/>
    <w:bookmarkStart w:id="138" w:name="credential-revoked"/>
    <w:bookmarkStart w:id="137" w:name="section-2.1.3"/>
    <w:bookmarkStart w:id="136"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24" w:name="section-2.1.3-4.1"/>
    <w:p>
      <w:pPr>
        <w:numPr>
          <w:ilvl w:val="0"/>
          <w:numId w:val="1020"/>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24"/>
    <w:bookmarkStart w:id="125" w:name="section-2.1.3-4.2"/>
    <w:p>
      <w:pPr>
        <w:numPr>
          <w:ilvl w:val="0"/>
          <w:numId w:val="1020"/>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5"/>
    <w:bookmarkStart w:id="130" w:name="section-2.1.3-4.3"/>
    <w:p>
      <w:pPr>
        <w:numPr>
          <w:ilvl w:val="0"/>
          <w:numId w:val="1020"/>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6" w:name="section-2.1.3-4.3.2.1"/>
    <w:p>
      <w:pPr>
        <w:numPr>
          <w:ilvl w:val="1"/>
          <w:numId w:val="1021"/>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6"/>
    <w:bookmarkStart w:id="127" w:name="section-2.1.3-4.3.2.2"/>
    <w:p>
      <w:pPr>
        <w:numPr>
          <w:ilvl w:val="1"/>
          <w:numId w:val="1021"/>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7"/>
    <w:bookmarkStart w:id="128" w:name="section-2.1.3-4.3.2.3"/>
    <w:p>
      <w:pPr>
        <w:numPr>
          <w:ilvl w:val="1"/>
          <w:numId w:val="1021"/>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8"/>
    <w:bookmarkStart w:id="129" w:name="section-2.1.3-4.3.2.4"/>
    <w:p>
      <w:pPr>
        <w:numPr>
          <w:ilvl w:val="1"/>
          <w:numId w:val="1021"/>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9"/>
    <w:bookmarkEnd w:id="130"/>
    <w:bookmarkStart w:id="131" w:name="section-2.1.3-4.4"/>
    <w:p>
      <w:pPr>
        <w:numPr>
          <w:ilvl w:val="0"/>
          <w:numId w:val="1020"/>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31"/>
    <w:p>
      <w:pPr>
        <w:pStyle w:val="FirstParagraph"/>
      </w:pPr>
      <w:r>
        <w:t xml:space="preserve">The following example is non-normative.</w:t>
      </w:r>
      <w:hyperlink w:anchor="section-2.1.3-5">
        <w:r>
          <w:rPr>
            <w:rStyle w:val="Hyperlink"/>
          </w:rPr>
          <w:t xml:space="preserve">¶</w:t>
        </w:r>
      </w:hyperlink>
    </w:p>
    <w:p>
      <w:pPr>
        <w:pStyle w:val="BodyText"/>
      </w:pPr>
      <w:bookmarkStart w:id="132" w:name="name-example-credential-revoked"/>
      <w:bookmarkEnd w:id="132"/>
    </w:p>
    <w:bookmarkStart w:id="135" w:name="fig-credential-revoked"/>
    <w:bookmarkStart w:id="134" w:name="figure-3"/>
    <w:tbl>
      <w:tblPr>
        <w:tblStyle w:val="FigureTable"/>
        <w:tblW w:type="auto" w:w="0"/>
        <w:jc w:val="center"/>
        <w:tblLook w:firstRow="0" w:lastRow="0" w:firstColumn="0" w:lastColumn="0"/>
      </w:tblPr>
      <w:tblGrid>
        <w:gridCol w:w="7920"/>
      </w:tblGrid>
      <w:tr>
        <w:tc>
          <w:tcPr/>
          <w:bookmarkStart w:id="133"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33"/>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34"/>
    <w:bookmarkEnd w:id="135"/>
    <w:bookmarkEnd w:id="136"/>
    <w:bookmarkEnd w:id="137"/>
    <w:bookmarkEnd w:id="138"/>
    <w:bookmarkStart w:id="149" w:name="credential-compromise"/>
    <w:bookmarkStart w:id="148" w:name="section-2.1.4"/>
    <w:bookmarkStart w:id="147"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9" w:name="section-2.1.4-4.1"/>
    <w:p>
      <w:pPr>
        <w:numPr>
          <w:ilvl w:val="0"/>
          <w:numId w:val="1022"/>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9"/>
    <w:bookmarkStart w:id="140" w:name="section-2.1.4-4.2"/>
    <w:p>
      <w:pPr>
        <w:numPr>
          <w:ilvl w:val="0"/>
          <w:numId w:val="1022"/>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40"/>
    <w:bookmarkStart w:id="141" w:name="section-2.1.4-4.3"/>
    <w:p>
      <w:pPr>
        <w:numPr>
          <w:ilvl w:val="0"/>
          <w:numId w:val="1022"/>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41"/>
    <w:bookmarkStart w:id="142" w:name="section-2.1.4-4.4"/>
    <w:p>
      <w:pPr>
        <w:numPr>
          <w:ilvl w:val="0"/>
          <w:numId w:val="1022"/>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42"/>
    <w:p>
      <w:pPr>
        <w:pStyle w:val="FirstParagraph"/>
      </w:pPr>
      <w:r>
        <w:t xml:space="preserve">The following example is non-normative.</w:t>
      </w:r>
      <w:hyperlink w:anchor="section-2.1.4-5">
        <w:r>
          <w:rPr>
            <w:rStyle w:val="Hyperlink"/>
          </w:rPr>
          <w:t xml:space="preserve">¶</w:t>
        </w:r>
      </w:hyperlink>
    </w:p>
    <w:p>
      <w:pPr>
        <w:pStyle w:val="BodyText"/>
      </w:pPr>
      <w:bookmarkStart w:id="143" w:name="name-example-credential-compromi"/>
      <w:bookmarkEnd w:id="143"/>
    </w:p>
    <w:bookmarkStart w:id="146" w:name="fig-credential-compromise"/>
    <w:bookmarkStart w:id="145" w:name="figure-4"/>
    <w:tbl>
      <w:tblPr>
        <w:tblStyle w:val="FigureTable"/>
        <w:tblW w:type="auto" w:w="0"/>
        <w:jc w:val="center"/>
        <w:tblLook w:firstRow="0" w:lastRow="0" w:firstColumn="0" w:lastColumn="0"/>
      </w:tblPr>
      <w:tblGrid>
        <w:gridCol w:w="7920"/>
      </w:tblGrid>
      <w:tr>
        <w:tc>
          <w:tcPr/>
          <w:bookmarkStart w:id="144"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44"/>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5"/>
    <w:bookmarkEnd w:id="146"/>
    <w:bookmarkEnd w:id="147"/>
    <w:bookmarkEnd w:id="148"/>
    <w:bookmarkEnd w:id="149"/>
    <w:bookmarkStart w:id="165" w:name="credential-renewal-failure"/>
    <w:bookmarkStart w:id="164" w:name="section-2.1.5"/>
    <w:bookmarkStart w:id="163"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50" w:name="section-2.1.5-4.1"/>
    <w:p>
      <w:pPr>
        <w:numPr>
          <w:ilvl w:val="0"/>
          <w:numId w:val="1023"/>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50"/>
    <w:bookmarkStart w:id="151" w:name="section-2.1.5-4.2"/>
    <w:p>
      <w:pPr>
        <w:numPr>
          <w:ilvl w:val="0"/>
          <w:numId w:val="1023"/>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51"/>
    <w:bookmarkStart w:id="152" w:name="section-2.1.5-4.3"/>
    <w:p>
      <w:pPr>
        <w:numPr>
          <w:ilvl w:val="0"/>
          <w:numId w:val="1023"/>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52"/>
    <w:bookmarkStart w:id="157" w:name="section-2.1.5-4.4"/>
    <w:p>
      <w:pPr>
        <w:numPr>
          <w:ilvl w:val="0"/>
          <w:numId w:val="1023"/>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53" w:name="section-2.1.5-4.4.2.1"/>
    <w:p>
      <w:pPr>
        <w:numPr>
          <w:ilvl w:val="1"/>
          <w:numId w:val="1024"/>
        </w:numPr>
      </w:pPr>
      <w:r>
        <w:rPr>
          <w:rStyle w:val="VerbatimChar"/>
        </w:rPr>
        <w:t xml:space="preserve">credential_service_unreachable</w:t>
      </w:r>
      <w:r>
        <w:t xml:space="preserve"> </w:t>
      </w:r>
      <w:r>
        <w:t xml:space="preserve">- Cannot reach the Credential Service (Section 3.2.1 of</w:t>
      </w:r>
      <w:r>
        <w:t xml:space="preserve"> </w:t>
      </w:r>
      <w:r>
        <w:t xml:space="preserve">[</w:t>
      </w:r>
      <w:hyperlink w:anchor="WIMSE-ARCH">
        <w:r>
          <w:rPr>
            <w:rStyle w:val="Hyperlink"/>
          </w:rPr>
          <w:t xml:space="preserve">WIMSE-ARCH</w:t>
        </w:r>
      </w:hyperlink>
      <w:r>
        <w:t xml:space="preserve">]</w:t>
      </w:r>
      <w:r>
        <w:t xml:space="preserve">).</w:t>
      </w:r>
      <w:hyperlink w:anchor="section-2.1.5-4.4.2.1.1">
        <w:r>
          <w:rPr>
            <w:rStyle w:val="Hyperlink"/>
          </w:rPr>
          <w:t xml:space="preserve">¶</w:t>
        </w:r>
      </w:hyperlink>
    </w:p>
    <w:bookmarkEnd w:id="153"/>
    <w:bookmarkStart w:id="154" w:name="section-2.1.5-4.4.2.2"/>
    <w:p>
      <w:pPr>
        <w:numPr>
          <w:ilvl w:val="1"/>
          <w:numId w:val="1024"/>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54"/>
    <w:bookmarkStart w:id="155" w:name="section-2.1.5-4.4.2.3"/>
    <w:p>
      <w:pPr>
        <w:numPr>
          <w:ilvl w:val="1"/>
          <w:numId w:val="1024"/>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5"/>
    <w:bookmarkStart w:id="156" w:name="section-2.1.5-4.4.2.4"/>
    <w:p>
      <w:pPr>
        <w:numPr>
          <w:ilvl w:val="1"/>
          <w:numId w:val="1024"/>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6"/>
    <w:bookmarkEnd w:id="157"/>
    <w:bookmarkStart w:id="158" w:name="section-2.1.5-4.5"/>
    <w:p>
      <w:pPr>
        <w:numPr>
          <w:ilvl w:val="0"/>
          <w:numId w:val="1023"/>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8"/>
    <w:p>
      <w:pPr>
        <w:pStyle w:val="FirstParagraph"/>
      </w:pPr>
      <w:r>
        <w:t xml:space="preserve">The following example is non-normative.</w:t>
      </w:r>
      <w:hyperlink w:anchor="section-2.1.5-5">
        <w:r>
          <w:rPr>
            <w:rStyle w:val="Hyperlink"/>
          </w:rPr>
          <w:t xml:space="preserve">¶</w:t>
        </w:r>
      </w:hyperlink>
    </w:p>
    <w:p>
      <w:pPr>
        <w:pStyle w:val="BodyText"/>
      </w:pPr>
      <w:bookmarkStart w:id="159" w:name="name-example-credential-renewal-"/>
      <w:bookmarkEnd w:id="159"/>
    </w:p>
    <w:bookmarkStart w:id="162" w:name="fig-credential-renewal-failure"/>
    <w:bookmarkStart w:id="161" w:name="figure-5"/>
    <w:tbl>
      <w:tblPr>
        <w:tblStyle w:val="FigureTable"/>
        <w:tblW w:type="auto" w:w="0"/>
        <w:jc w:val="center"/>
        <w:tblLook w:firstRow="0" w:lastRow="0" w:firstColumn="0" w:lastColumn="0"/>
      </w:tblPr>
      <w:tblGrid>
        <w:gridCol w:w="7920"/>
      </w:tblGrid>
      <w:tr>
        <w:tc>
          <w:tcPr/>
          <w:bookmarkStart w:id="160"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0"/>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61"/>
    <w:bookmarkEnd w:id="162"/>
    <w:bookmarkEnd w:id="163"/>
    <w:bookmarkEnd w:id="164"/>
    <w:bookmarkEnd w:id="165"/>
    <w:bookmarkEnd w:id="166"/>
    <w:bookmarkEnd w:id="167"/>
    <w:bookmarkEnd w:id="168"/>
    <w:bookmarkStart w:id="217" w:name="bound-key-lifecycle-events"/>
    <w:bookmarkStart w:id="216" w:name="section-2.2"/>
    <w:bookmarkStart w:id="215"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Bound keys in this context include DPoP proof keys, mTLS certificate-bound keys, and attestation keys used during posture evaluation.</w:t>
      </w:r>
      <w:hyperlink w:anchor="section-2.2-2">
        <w:r>
          <w:rPr>
            <w:rStyle w:val="Hyperlink"/>
          </w:rPr>
          <w:t xml:space="preserve">¶</w:t>
        </w:r>
      </w:hyperlink>
    </w:p>
    <w:bookmarkStart w:id="188" w:name="bound-key-issued"/>
    <w:bookmarkStart w:id="187" w:name="section-2.2.1"/>
    <w:bookmarkStart w:id="186"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73" w:name="section-2.2.1-4.1"/>
    <w:p>
      <w:pPr>
        <w:numPr>
          <w:ilvl w:val="0"/>
          <w:numId w:val="1025"/>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9" w:name="section-2.2.1-4.1.2.1"/>
    <w:p>
      <w:pPr>
        <w:numPr>
          <w:ilvl w:val="1"/>
          <w:numId w:val="1026"/>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9"/>
    <w:bookmarkStart w:id="170" w:name="section-2.2.1-4.1.2.2"/>
    <w:p>
      <w:pPr>
        <w:numPr>
          <w:ilvl w:val="1"/>
          <w:numId w:val="1026"/>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70"/>
    <w:bookmarkStart w:id="171" w:name="section-2.2.1-4.1.2.3"/>
    <w:p>
      <w:pPr>
        <w:numPr>
          <w:ilvl w:val="1"/>
          <w:numId w:val="1026"/>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71"/>
    <w:bookmarkStart w:id="172" w:name="section-2.2.1-4.1.2.4"/>
    <w:p>
      <w:pPr>
        <w:numPr>
          <w:ilvl w:val="1"/>
          <w:numId w:val="1026"/>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72"/>
    <w:bookmarkEnd w:id="173"/>
    <w:bookmarkStart w:id="174" w:name="section-2.2.1-4.2"/>
    <w:p>
      <w:pPr>
        <w:numPr>
          <w:ilvl w:val="0"/>
          <w:numId w:val="1025"/>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74"/>
    <w:bookmarkStart w:id="175" w:name="section-2.2.1-4.3"/>
    <w:p>
      <w:pPr>
        <w:numPr>
          <w:ilvl w:val="0"/>
          <w:numId w:val="1025"/>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5"/>
    <w:bookmarkStart w:id="178" w:name="section-2.2.1-4.4"/>
    <w:p>
      <w:pPr>
        <w:numPr>
          <w:ilvl w:val="0"/>
          <w:numId w:val="1025"/>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6" w:name="section-2.2.1-4.4.2.1"/>
    <w:p>
      <w:pPr>
        <w:numPr>
          <w:ilvl w:val="1"/>
          <w:numId w:val="1027"/>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6"/>
    <w:bookmarkStart w:id="177" w:name="section-2.2.1-4.4.2.2"/>
    <w:p>
      <w:pPr>
        <w:numPr>
          <w:ilvl w:val="1"/>
          <w:numId w:val="1027"/>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7"/>
    <w:bookmarkEnd w:id="178"/>
    <w:bookmarkStart w:id="179" w:name="section-2.2.1-4.5"/>
    <w:p>
      <w:pPr>
        <w:numPr>
          <w:ilvl w:val="0"/>
          <w:numId w:val="1025"/>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9"/>
    <w:bookmarkStart w:id="180" w:name="section-2.2.1-4.6"/>
    <w:p>
      <w:pPr>
        <w:numPr>
          <w:ilvl w:val="0"/>
          <w:numId w:val="1025"/>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80"/>
    <w:bookmarkStart w:id="181" w:name="section-2.2.1-4.7"/>
    <w:p>
      <w:pPr>
        <w:numPr>
          <w:ilvl w:val="0"/>
          <w:numId w:val="1025"/>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81"/>
    <w:p>
      <w:pPr>
        <w:pStyle w:val="FirstParagraph"/>
      </w:pPr>
      <w:r>
        <w:t xml:space="preserve">The following example is non-normative.</w:t>
      </w:r>
      <w:hyperlink w:anchor="section-2.2.1-5">
        <w:r>
          <w:rPr>
            <w:rStyle w:val="Hyperlink"/>
          </w:rPr>
          <w:t xml:space="preserve">¶</w:t>
        </w:r>
      </w:hyperlink>
    </w:p>
    <w:p>
      <w:pPr>
        <w:pStyle w:val="BodyText"/>
      </w:pPr>
      <w:bookmarkStart w:id="182" w:name="name-example-bound-key-issued"/>
      <w:bookmarkEnd w:id="182"/>
    </w:p>
    <w:bookmarkStart w:id="185" w:name="fig-bound-key-issued"/>
    <w:bookmarkStart w:id="184" w:name="figure-6"/>
    <w:tbl>
      <w:tblPr>
        <w:tblStyle w:val="FigureTable"/>
        <w:tblW w:type="auto" w:w="0"/>
        <w:jc w:val="center"/>
        <w:tblLook w:firstRow="0" w:lastRow="0" w:firstColumn="0" w:lastColumn="0"/>
      </w:tblPr>
      <w:tblGrid>
        <w:gridCol w:w="7920"/>
      </w:tblGrid>
      <w:tr>
        <w:tc>
          <w:tcPr/>
          <w:bookmarkStart w:id="183"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83"/>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84"/>
    <w:bookmarkEnd w:id="185"/>
    <w:bookmarkEnd w:id="186"/>
    <w:bookmarkEnd w:id="187"/>
    <w:bookmarkEnd w:id="188"/>
    <w:bookmarkStart w:id="199" w:name="bound-key-rotated"/>
    <w:bookmarkStart w:id="198" w:name="section-2.2.2"/>
    <w:bookmarkStart w:id="197"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9" w:name="section-2.2.2-4.1"/>
    <w:p>
      <w:pPr>
        <w:numPr>
          <w:ilvl w:val="0"/>
          <w:numId w:val="1028"/>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9"/>
    <w:bookmarkStart w:id="190" w:name="section-2.2.2-4.2"/>
    <w:p>
      <w:pPr>
        <w:numPr>
          <w:ilvl w:val="0"/>
          <w:numId w:val="1028"/>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90"/>
    <w:bookmarkStart w:id="191" w:name="section-2.2.2-4.3"/>
    <w:p>
      <w:pPr>
        <w:numPr>
          <w:ilvl w:val="0"/>
          <w:numId w:val="1028"/>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91"/>
    <w:bookmarkStart w:id="192" w:name="section-2.2.2-4.4"/>
    <w:p>
      <w:pPr>
        <w:numPr>
          <w:ilvl w:val="0"/>
          <w:numId w:val="1028"/>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92"/>
    <w:bookmarkStart w:id="193" w:name="section-2.2.2-4.5"/>
    <w:p>
      <w:pPr>
        <w:numPr>
          <w:ilvl w:val="0"/>
          <w:numId w:val="1028"/>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93"/>
    <w:bookmarkStart w:id="194" w:name="section-2.2.2-4.6"/>
    <w:p>
      <w:pPr>
        <w:numPr>
          <w:ilvl w:val="0"/>
          <w:numId w:val="1028"/>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94"/>
    <w:bookmarkStart w:id="195" w:name="section-2.2.2-4.7"/>
    <w:p>
      <w:pPr>
        <w:numPr>
          <w:ilvl w:val="0"/>
          <w:numId w:val="1028"/>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5"/>
    <w:bookmarkStart w:id="196" w:name="section-2.2.2-4.8"/>
    <w:p>
      <w:pPr>
        <w:numPr>
          <w:ilvl w:val="0"/>
          <w:numId w:val="1028"/>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6"/>
    <w:bookmarkEnd w:id="197"/>
    <w:bookmarkEnd w:id="198"/>
    <w:bookmarkEnd w:id="199"/>
    <w:bookmarkStart w:id="214" w:name="bound-key-revoked"/>
    <w:bookmarkStart w:id="213" w:name="section-2.2.3"/>
    <w:bookmarkStart w:id="212"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200" w:name="section-2.2.3-4.1"/>
    <w:p>
      <w:pPr>
        <w:numPr>
          <w:ilvl w:val="0"/>
          <w:numId w:val="1029"/>
        </w:numPr>
      </w:pPr>
      <w:r>
        <w:rPr>
          <w:b/>
          <w:bCs/>
        </w:rPr>
        <w:t xml:space="preserve">key_type</w:t>
      </w:r>
      <w:r>
        <w:t xml:space="preserve"> </w:t>
      </w:r>
      <w:r>
        <w:t xml:space="preserve">- REQUIRED. The type of key binding.</w:t>
      </w:r>
      <w:hyperlink w:anchor="section-2.2.3-4.1.1">
        <w:r>
          <w:rPr>
            <w:rStyle w:val="Hyperlink"/>
          </w:rPr>
          <w:t xml:space="preserve">¶</w:t>
        </w:r>
      </w:hyperlink>
    </w:p>
    <w:bookmarkEnd w:id="200"/>
    <w:bookmarkStart w:id="201" w:name="section-2.2.3-4.2"/>
    <w:p>
      <w:pPr>
        <w:numPr>
          <w:ilvl w:val="0"/>
          <w:numId w:val="1029"/>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201"/>
    <w:bookmarkStart w:id="202" w:name="section-2.2.3-4.3"/>
    <w:p>
      <w:pPr>
        <w:numPr>
          <w:ilvl w:val="0"/>
          <w:numId w:val="1029"/>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202"/>
    <w:bookmarkStart w:id="206" w:name="section-2.2.3-4.4"/>
    <w:p>
      <w:pPr>
        <w:numPr>
          <w:ilvl w:val="0"/>
          <w:numId w:val="1029"/>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203" w:name="section-2.2.3-4.4.2.1"/>
    <w:p>
      <w:pPr>
        <w:numPr>
          <w:ilvl w:val="1"/>
          <w:numId w:val="1030"/>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203"/>
    <w:bookmarkStart w:id="204" w:name="section-2.2.3-4.4.2.2"/>
    <w:p>
      <w:pPr>
        <w:numPr>
          <w:ilvl w:val="1"/>
          <w:numId w:val="1030"/>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204"/>
    <w:bookmarkStart w:id="205" w:name="section-2.2.3-4.4.2.3"/>
    <w:p>
      <w:pPr>
        <w:numPr>
          <w:ilvl w:val="1"/>
          <w:numId w:val="1030"/>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5"/>
    <w:bookmarkEnd w:id="206"/>
    <w:bookmarkStart w:id="207" w:name="section-2.2.3-4.5"/>
    <w:p>
      <w:pPr>
        <w:numPr>
          <w:ilvl w:val="0"/>
          <w:numId w:val="1029"/>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7"/>
    <w:p>
      <w:pPr>
        <w:pStyle w:val="FirstParagraph"/>
      </w:pPr>
      <w:r>
        <w:t xml:space="preserve">The following example is non-normative.</w:t>
      </w:r>
      <w:hyperlink w:anchor="section-2.2.3-5">
        <w:r>
          <w:rPr>
            <w:rStyle w:val="Hyperlink"/>
          </w:rPr>
          <w:t xml:space="preserve">¶</w:t>
        </w:r>
      </w:hyperlink>
    </w:p>
    <w:p>
      <w:pPr>
        <w:pStyle w:val="BodyText"/>
      </w:pPr>
      <w:bookmarkStart w:id="208" w:name="name-example-bound-key-revoked"/>
      <w:bookmarkEnd w:id="208"/>
    </w:p>
    <w:bookmarkStart w:id="211" w:name="fig-bound-key-revoked"/>
    <w:bookmarkStart w:id="210" w:name="figure-7"/>
    <w:tbl>
      <w:tblPr>
        <w:tblStyle w:val="FigureTable"/>
        <w:tblW w:type="auto" w:w="0"/>
        <w:jc w:val="center"/>
        <w:tblLook w:firstRow="0" w:lastRow="0" w:firstColumn="0" w:lastColumn="0"/>
      </w:tblPr>
      <w:tblGrid>
        <w:gridCol w:w="7920"/>
      </w:tblGrid>
      <w:tr>
        <w:tc>
          <w:tcPr/>
          <w:bookmarkStart w:id="209"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9"/>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10"/>
    <w:bookmarkEnd w:id="211"/>
    <w:bookmarkEnd w:id="212"/>
    <w:bookmarkEnd w:id="213"/>
    <w:bookmarkEnd w:id="214"/>
    <w:bookmarkEnd w:id="215"/>
    <w:bookmarkEnd w:id="216"/>
    <w:bookmarkEnd w:id="217"/>
    <w:bookmarkStart w:id="237" w:name="workload-lifecycle-events"/>
    <w:bookmarkStart w:id="236" w:name="section-2.3"/>
    <w:bookmarkStart w:id="235" w:name="name-workload-lifecycle-events"/>
    <w:p>
      <w:pPr>
        <w:pStyle w:val="Heading3"/>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p>
      <w:pPr>
        <w:pStyle w:val="FirstParagraph"/>
      </w:pPr>
      <w:r>
        <w:t xml:space="preserve">These events signal changes to the lifecycle state of a workload as managed by the trust domain authority.</w:t>
      </w:r>
      <w:hyperlink w:anchor="section-2.3-1">
        <w:r>
          <w:rPr>
            <w:rStyle w:val="Hyperlink"/>
          </w:rPr>
          <w:t xml:space="preserve">¶</w:t>
        </w:r>
      </w:hyperlink>
    </w:p>
    <w:bookmarkStart w:id="226" w:name="workload-disabled"/>
    <w:bookmarkStart w:id="225" w:name="section-2.3.1"/>
    <w:bookmarkStart w:id="22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The authority will no longer issue credentials for this workload, and it cancels the workload's currently valid credentials and bound keys.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 (and</w:t>
      </w:r>
      <w:r>
        <w:t xml:space="preserve"> </w:t>
      </w:r>
      <w:r>
        <w:rPr>
          <w:rStyle w:val="VerbatimChar"/>
        </w:rPr>
        <w:t xml:space="preserve">bound-key-revoked</w:t>
      </w:r>
      <w:r>
        <w:t xml:space="preserve"> </w:t>
      </w:r>
      <w:r>
        <w:t xml:space="preserve">events for any bound keys). A Transmitter SHOULD emit those credential events together with this event.</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22" w:name="section-2.3.1-4.1"/>
    <w:p>
      <w:pPr>
        <w:numPr>
          <w:ilvl w:val="0"/>
          <w:numId w:val="1031"/>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8" w:name="section-2.3.1-4.1.2.1"/>
    <w:p>
      <w:pPr>
        <w:numPr>
          <w:ilvl w:val="1"/>
          <w:numId w:val="1032"/>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8"/>
    <w:bookmarkStart w:id="219" w:name="section-2.3.1-4.1.2.2"/>
    <w:p>
      <w:pPr>
        <w:numPr>
          <w:ilvl w:val="1"/>
          <w:numId w:val="1032"/>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9"/>
    <w:bookmarkStart w:id="220" w:name="section-2.3.1-4.1.2.3"/>
    <w:p>
      <w:pPr>
        <w:numPr>
          <w:ilvl w:val="1"/>
          <w:numId w:val="1032"/>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20"/>
    <w:bookmarkStart w:id="221" w:name="section-2.3.1-4.1.2.4"/>
    <w:p>
      <w:pPr>
        <w:numPr>
          <w:ilvl w:val="1"/>
          <w:numId w:val="1032"/>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21"/>
    <w:bookmarkEnd w:id="222"/>
    <w:bookmarkStart w:id="223" w:name="section-2.3.1-4.2"/>
    <w:p>
      <w:pPr>
        <w:numPr>
          <w:ilvl w:val="0"/>
          <w:numId w:val="1031"/>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23"/>
    <w:bookmarkEnd w:id="224"/>
    <w:bookmarkEnd w:id="225"/>
    <w:bookmarkEnd w:id="226"/>
    <w:bookmarkStart w:id="230" w:name="workload-enabled"/>
    <w:bookmarkStart w:id="229" w:name="section-2.3.2"/>
    <w:bookmarkStart w:id="22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is active again. The trust domain authority will resume issuing credentials for this workload. As with disablement, this event conveys only the lifecycle state change; any credential provisioned as a result is signalled separately through an accompanying</w:t>
      </w:r>
      <w:r>
        <w:t xml:space="preserve"> </w:t>
      </w:r>
      <w:r>
        <w:rPr>
          <w:rStyle w:val="VerbatimChar"/>
        </w:rPr>
        <w:t xml:space="preserve">credential-issued</w:t>
      </w:r>
      <w:r>
        <w:t xml:space="preserve"> </w:t>
      </w:r>
      <w:r>
        <w:t xml:space="preserve">event.</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7" w:name="section-2.3.2-4.1"/>
    <w:p>
      <w:pPr>
        <w:numPr>
          <w:ilvl w:val="0"/>
          <w:numId w:val="1033"/>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7"/>
    <w:bookmarkEnd w:id="228"/>
    <w:bookmarkEnd w:id="229"/>
    <w:bookmarkEnd w:id="230"/>
    <w:bookmarkStart w:id="234" w:name="workload-purged"/>
    <w:bookmarkStart w:id="233" w:name="section-2.3.3"/>
    <w:bookmarkStart w:id="23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has been permanently removed from the trust domain. This is irreversible. The workload will not be re-provisioned. All credentials previously issued for this workload MUST be considered invalid. As with</w:t>
      </w:r>
      <w:r>
        <w:t xml:space="preserve"> </w:t>
      </w:r>
      <w:r>
        <w:rPr>
          <w:rStyle w:val="VerbatimChar"/>
        </w:rPr>
        <w:t xml:space="preserve">workload-disabled</w:t>
      </w:r>
      <w:r>
        <w:t xml:space="preserve">,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 (and</w:t>
      </w:r>
      <w:r>
        <w:t xml:space="preserve"> </w:t>
      </w:r>
      <w:r>
        <w:rPr>
          <w:rStyle w:val="VerbatimChar"/>
        </w:rPr>
        <w:t xml:space="preserve">bound-key-revoked</w:t>
      </w:r>
      <w:r>
        <w:t xml:space="preserve"> </w:t>
      </w:r>
      <w:r>
        <w:t xml:space="preserve">events for any bound keys).</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31" w:name="section-2.3.3-4.1"/>
    <w:p>
      <w:pPr>
        <w:numPr>
          <w:ilvl w:val="0"/>
          <w:numId w:val="1034"/>
        </w:numPr>
      </w:pPr>
      <w:r>
        <w:rPr>
          <w:b/>
          <w:bCs/>
        </w:rPr>
        <w:t xml:space="preserve">event_timestamp</w:t>
      </w:r>
      <w:r>
        <w:t xml:space="preserve"> </w:t>
      </w:r>
      <w:r>
        <w:t xml:space="preserve">- OPTIONAL. Time of removal.</w:t>
      </w:r>
      <w:hyperlink w:anchor="section-2.3.3-4.1.1">
        <w:r>
          <w:rPr>
            <w:rStyle w:val="Hyperlink"/>
          </w:rPr>
          <w:t xml:space="preserve">¶</w:t>
        </w:r>
      </w:hyperlink>
    </w:p>
    <w:bookmarkEnd w:id="231"/>
    <w:bookmarkEnd w:id="232"/>
    <w:bookmarkEnd w:id="233"/>
    <w:bookmarkEnd w:id="234"/>
    <w:bookmarkEnd w:id="235"/>
    <w:bookmarkEnd w:id="236"/>
    <w:bookmarkEnd w:id="237"/>
    <w:bookmarkStart w:id="282" w:name="trust-and-federation-events"/>
    <w:bookmarkStart w:id="281" w:name="section-2.4"/>
    <w:bookmarkStart w:id="28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8" w:name="trust-anchor-changed"/>
    <w:bookmarkStart w:id="267" w:name="section-2.4.1"/>
    <w:bookmarkStart w:id="26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40" w:name="section-2.4.1-4.1"/>
    <w:p>
      <w:pPr>
        <w:numPr>
          <w:ilvl w:val="0"/>
          <w:numId w:val="1035"/>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8" w:name="section-2.4.1-4.1.2.1"/>
    <w:p>
      <w:pPr>
        <w:numPr>
          <w:ilvl w:val="1"/>
          <w:numId w:val="1036"/>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8"/>
    <w:bookmarkStart w:id="239" w:name="section-2.4.1-4.1.2.2"/>
    <w:p>
      <w:pPr>
        <w:numPr>
          <w:ilvl w:val="1"/>
          <w:numId w:val="1036"/>
        </w:numPr>
      </w:pPr>
      <w:r>
        <w:rPr>
          <w:rStyle w:val="VerbatimChar"/>
        </w:rPr>
        <w:t xml:space="preserve">jwks</w:t>
      </w:r>
      <w:r>
        <w:t xml:space="preserve"> </w:t>
      </w:r>
      <w:r>
        <w:t xml:space="preserve">- JSON Web Key Set used to validate Workload Identity Tokens (WIT).</w:t>
      </w:r>
      <w:hyperlink w:anchor="section-2.4.1-4.1.2.2.1">
        <w:r>
          <w:rPr>
            <w:rStyle w:val="Hyperlink"/>
          </w:rPr>
          <w:t xml:space="preserve">¶</w:t>
        </w:r>
      </w:hyperlink>
    </w:p>
    <w:bookmarkEnd w:id="239"/>
    <w:bookmarkEnd w:id="240"/>
    <w:bookmarkStart w:id="246" w:name="section-2.4.1-4.2"/>
    <w:p>
      <w:pPr>
        <w:numPr>
          <w:ilvl w:val="0"/>
          <w:numId w:val="1035"/>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41" w:name="section-2.4.1-4.2.2.1"/>
    <w:p>
      <w:pPr>
        <w:numPr>
          <w:ilvl w:val="1"/>
          <w:numId w:val="1037"/>
        </w:numPr>
      </w:pPr>
      <w:r>
        <w:rPr>
          <w:rStyle w:val="VerbatimChar"/>
        </w:rPr>
        <w:t xml:space="preserve">key-added</w:t>
      </w:r>
      <w:r>
        <w:t xml:space="preserve"> </w:t>
      </w:r>
      <w:r>
        <w:t xml:space="preserve">- A new key or CA was added to the trust bundle.</w:t>
      </w:r>
      <w:hyperlink w:anchor="section-2.4.1-4.2.2.1.1">
        <w:r>
          <w:rPr>
            <w:rStyle w:val="Hyperlink"/>
          </w:rPr>
          <w:t xml:space="preserve">¶</w:t>
        </w:r>
      </w:hyperlink>
    </w:p>
    <w:bookmarkEnd w:id="241"/>
    <w:bookmarkStart w:id="242" w:name="section-2.4.1-4.2.2.2"/>
    <w:p>
      <w:pPr>
        <w:numPr>
          <w:ilvl w:val="1"/>
          <w:numId w:val="1037"/>
        </w:numPr>
      </w:pPr>
      <w:r>
        <w:rPr>
          <w:rStyle w:val="VerbatimChar"/>
        </w:rPr>
        <w:t xml:space="preserve">key-rotated</w:t>
      </w:r>
      <w:r>
        <w:t xml:space="preserve"> </w:t>
      </w:r>
      <w:r>
        <w:t xml:space="preserve">- An existing key or CA was replaced.</w:t>
      </w:r>
      <w:hyperlink w:anchor="section-2.4.1-4.2.2.2.1">
        <w:r>
          <w:rPr>
            <w:rStyle w:val="Hyperlink"/>
          </w:rPr>
          <w:t xml:space="preserve">¶</w:t>
        </w:r>
      </w:hyperlink>
    </w:p>
    <w:bookmarkEnd w:id="242"/>
    <w:bookmarkStart w:id="243" w:name="section-2.4.1-4.2.2.3"/>
    <w:p>
      <w:pPr>
        <w:numPr>
          <w:ilvl w:val="1"/>
          <w:numId w:val="1037"/>
        </w:numPr>
      </w:pPr>
      <w:r>
        <w:rPr>
          <w:rStyle w:val="VerbatimChar"/>
        </w:rPr>
        <w:t xml:space="preserve">key-revoked</w:t>
      </w:r>
      <w:r>
        <w:t xml:space="preserve"> </w:t>
      </w:r>
      <w:r>
        <w:t xml:space="preserve">- A key or CA was revoked and MUST no longer be trusted.</w:t>
      </w:r>
      <w:hyperlink w:anchor="section-2.4.1-4.2.2.3.1">
        <w:r>
          <w:rPr>
            <w:rStyle w:val="Hyperlink"/>
          </w:rPr>
          <w:t xml:space="preserve">¶</w:t>
        </w:r>
      </w:hyperlink>
    </w:p>
    <w:bookmarkEnd w:id="243"/>
    <w:bookmarkStart w:id="244" w:name="section-2.4.1-4.2.2.4"/>
    <w:p>
      <w:pPr>
        <w:numPr>
          <w:ilvl w:val="1"/>
          <w:numId w:val="1037"/>
        </w:numPr>
      </w:pPr>
      <w:r>
        <w:rPr>
          <w:rStyle w:val="VerbatimChar"/>
        </w:rPr>
        <w:t xml:space="preserve">key-expired</w:t>
      </w:r>
      <w:r>
        <w:t xml:space="preserve"> </w:t>
      </w:r>
      <w:r>
        <w:t xml:space="preserve">- A key or CA has expired.</w:t>
      </w:r>
      <w:hyperlink w:anchor="section-2.4.1-4.2.2.4.1">
        <w:r>
          <w:rPr>
            <w:rStyle w:val="Hyperlink"/>
          </w:rPr>
          <w:t xml:space="preserve">¶</w:t>
        </w:r>
      </w:hyperlink>
    </w:p>
    <w:bookmarkEnd w:id="244"/>
    <w:bookmarkStart w:id="245" w:name="section-2.4.1-4.2.2.5"/>
    <w:p>
      <w:pPr>
        <w:numPr>
          <w:ilvl w:val="1"/>
          <w:numId w:val="1037"/>
        </w:numPr>
      </w:pPr>
      <w:r>
        <w:rPr>
          <w:rStyle w:val="VerbatimChar"/>
        </w:rPr>
        <w:t xml:space="preserve">full-replacement</w:t>
      </w:r>
      <w:r>
        <w:t xml:space="preserve"> </w:t>
      </w:r>
      <w:r>
        <w:t xml:space="preserve">- The entire trust bundle was replaced.</w:t>
      </w:r>
      <w:hyperlink w:anchor="section-2.4.1-4.2.2.5.1">
        <w:r>
          <w:rPr>
            <w:rStyle w:val="Hyperlink"/>
          </w:rPr>
          <w:t xml:space="preserve">¶</w:t>
        </w:r>
      </w:hyperlink>
    </w:p>
    <w:bookmarkEnd w:id="245"/>
    <w:bookmarkEnd w:id="246"/>
    <w:bookmarkStart w:id="247" w:name="section-2.4.1-4.3"/>
    <w:p>
      <w:pPr>
        <w:numPr>
          <w:ilvl w:val="0"/>
          <w:numId w:val="1035"/>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7"/>
    <w:bookmarkStart w:id="248" w:name="section-2.4.1-4.4"/>
    <w:p>
      <w:pPr>
        <w:numPr>
          <w:ilvl w:val="0"/>
          <w:numId w:val="1035"/>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8"/>
    <w:bookmarkStart w:id="249" w:name="section-2.4.1-4.5"/>
    <w:p>
      <w:pPr>
        <w:numPr>
          <w:ilvl w:val="0"/>
          <w:numId w:val="1035"/>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9"/>
    <w:bookmarkStart w:id="250" w:name="section-2.4.1-4.6"/>
    <w:p>
      <w:pPr>
        <w:numPr>
          <w:ilvl w:val="0"/>
          <w:numId w:val="1035"/>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50"/>
    <w:bookmarkStart w:id="251" w:name="section-2.4.1-4.7"/>
    <w:p>
      <w:pPr>
        <w:numPr>
          <w:ilvl w:val="0"/>
          <w:numId w:val="1035"/>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51"/>
    <w:bookmarkStart w:id="252" w:name="section-2.4.1-4.8"/>
    <w:p>
      <w:pPr>
        <w:numPr>
          <w:ilvl w:val="0"/>
          <w:numId w:val="1035"/>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52"/>
    <w:bookmarkStart w:id="257" w:name="section-2.4.1-4.9"/>
    <w:p>
      <w:pPr>
        <w:numPr>
          <w:ilvl w:val="0"/>
          <w:numId w:val="1035"/>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53" w:name="section-2.4.1-4.9.2.1"/>
    <w:p>
      <w:pPr>
        <w:numPr>
          <w:ilvl w:val="1"/>
          <w:numId w:val="1038"/>
        </w:numPr>
      </w:pPr>
      <w:r>
        <w:rPr>
          <w:rStyle w:val="VerbatimChar"/>
        </w:rPr>
        <w:t xml:space="preserve">scheduled-rotation</w:t>
      </w:r>
      <w:r>
        <w:t xml:space="preserve"> </w:t>
      </w:r>
      <w:r>
        <w:t xml:space="preserve">- Routine key rotation.</w:t>
      </w:r>
      <w:hyperlink w:anchor="section-2.4.1-4.9.2.1.1">
        <w:r>
          <w:rPr>
            <w:rStyle w:val="Hyperlink"/>
          </w:rPr>
          <w:t xml:space="preserve">¶</w:t>
        </w:r>
      </w:hyperlink>
    </w:p>
    <w:bookmarkEnd w:id="253"/>
    <w:bookmarkStart w:id="254" w:name="section-2.4.1-4.9.2.2"/>
    <w:p>
      <w:pPr>
        <w:numPr>
          <w:ilvl w:val="1"/>
          <w:numId w:val="1038"/>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54"/>
    <w:bookmarkStart w:id="255" w:name="section-2.4.1-4.9.2.3"/>
    <w:p>
      <w:pPr>
        <w:numPr>
          <w:ilvl w:val="1"/>
          <w:numId w:val="1038"/>
        </w:numPr>
      </w:pPr>
      <w:r>
        <w:rPr>
          <w:rStyle w:val="VerbatimChar"/>
        </w:rPr>
        <w:t xml:space="preserve">policy-change</w:t>
      </w:r>
      <w:r>
        <w:t xml:space="preserve"> </w:t>
      </w:r>
      <w:r>
        <w:t xml:space="preserve">- Changed due to updated security policy.</w:t>
      </w:r>
      <w:hyperlink w:anchor="section-2.4.1-4.9.2.3.1">
        <w:r>
          <w:rPr>
            <w:rStyle w:val="Hyperlink"/>
          </w:rPr>
          <w:t xml:space="preserve">¶</w:t>
        </w:r>
      </w:hyperlink>
    </w:p>
    <w:bookmarkEnd w:id="255"/>
    <w:bookmarkStart w:id="256" w:name="section-2.4.1-4.9.2.4"/>
    <w:p>
      <w:pPr>
        <w:numPr>
          <w:ilvl w:val="1"/>
          <w:numId w:val="1038"/>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6"/>
    <w:bookmarkEnd w:id="257"/>
    <w:p>
      <w:pPr>
        <w:pStyle w:val="FirstParagraph"/>
      </w:pPr>
      <w:r>
        <w:t xml:space="preserve">The following example is non-normative.</w:t>
      </w:r>
      <w:hyperlink w:anchor="section-2.4.1-5">
        <w:r>
          <w:rPr>
            <w:rStyle w:val="Hyperlink"/>
          </w:rPr>
          <w:t xml:space="preserve">¶</w:t>
        </w:r>
      </w:hyperlink>
    </w:p>
    <w:p>
      <w:pPr>
        <w:pStyle w:val="BodyText"/>
      </w:pPr>
      <w:bookmarkStart w:id="258" w:name="name-example-trust-anchor-change"/>
      <w:bookmarkEnd w:id="258"/>
    </w:p>
    <w:bookmarkStart w:id="261" w:name="fig-trust-anchor-jwks"/>
    <w:bookmarkStart w:id="260" w:name="figure-8"/>
    <w:tbl>
      <w:tblPr>
        <w:tblStyle w:val="FigureTable"/>
        <w:tblW w:type="auto" w:w="0"/>
        <w:jc w:val="center"/>
        <w:tblLook w:firstRow="0" w:lastRow="0" w:firstColumn="0" w:lastColumn="0"/>
      </w:tblPr>
      <w:tblGrid>
        <w:gridCol w:w="7920"/>
      </w:tblGrid>
      <w:tr>
        <w:tc>
          <w:tcPr/>
          <w:bookmarkStart w:id="25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"scheduled-rotation"</w:t>
            </w:r>
            <w:r>
              <w:br/>
            </w:r>
            <w:r>
              <w:rPr>
                <w:rStyle w:val="VerbatimChar"/>
              </w:rPr>
              <w:t xml:space="preserve">    }</w:t>
            </w:r>
            <w:r>
              <w:br/>
            </w:r>
            <w:r>
              <w:rPr>
                <w:rStyle w:val="VerbatimChar"/>
              </w:rPr>
              <w:t xml:space="preserve">  }</w:t>
            </w:r>
            <w:r>
              <w:br/>
            </w:r>
            <w:r>
              <w:rPr>
                <w:rStyle w:val="VerbatimChar"/>
              </w:rPr>
              <w:t xml:space="preserve">}</w:t>
            </w:r>
          </w:p>
          <w:bookmarkEnd w:id="259"/>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60"/>
    <w:bookmarkEnd w:id="261"/>
    <w:p>
      <w:pPr>
        <w:pStyle w:val="BodyText"/>
      </w:pPr>
      <w:r>
        <w:t xml:space="preserve">The following example is non-normative.</w:t>
      </w:r>
      <w:hyperlink w:anchor="section-2.4.1-7">
        <w:r>
          <w:rPr>
            <w:rStyle w:val="Hyperlink"/>
          </w:rPr>
          <w:t xml:space="preserve">¶</w:t>
        </w:r>
      </w:hyperlink>
    </w:p>
    <w:p>
      <w:pPr>
        <w:pStyle w:val="BodyText"/>
      </w:pPr>
      <w:bookmarkStart w:id="262" w:name="name-example-trust-anchor-changed"/>
      <w:bookmarkEnd w:id="262"/>
    </w:p>
    <w:bookmarkStart w:id="265" w:name="fig-trust-anchor-x509"/>
    <w:bookmarkStart w:id="264" w:name="figure-9"/>
    <w:tbl>
      <w:tblPr>
        <w:tblStyle w:val="FigureTable"/>
        <w:tblW w:type="auto" w:w="0"/>
        <w:jc w:val="center"/>
        <w:tblLook w:firstRow="0" w:lastRow="0" w:firstColumn="0" w:lastColumn="0"/>
      </w:tblPr>
      <w:tblGrid>
        <w:gridCol w:w="7920"/>
      </w:tblGrid>
      <w:tr>
        <w:tc>
          <w:tcPr/>
          <w:bookmarkStart w:id="26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63"/>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64"/>
    <w:bookmarkEnd w:id="265"/>
    <w:bookmarkEnd w:id="266"/>
    <w:bookmarkEnd w:id="267"/>
    <w:bookmarkEnd w:id="268"/>
    <w:bookmarkStart w:id="279" w:name="trust-domain-federation-revoked"/>
    <w:bookmarkStart w:id="278" w:name="section-2.4.2"/>
    <w:bookmarkStart w:id="27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9" w:name="section-2.4.2-4.1"/>
    <w:p>
      <w:pPr>
        <w:numPr>
          <w:ilvl w:val="0"/>
          <w:numId w:val="1039"/>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9"/>
    <w:bookmarkStart w:id="274" w:name="section-2.4.2-4.2"/>
    <w:p>
      <w:pPr>
        <w:numPr>
          <w:ilvl w:val="0"/>
          <w:numId w:val="1039"/>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70" w:name="section-2.4.2-4.2.2.1"/>
    <w:p>
      <w:pPr>
        <w:numPr>
          <w:ilvl w:val="1"/>
          <w:numId w:val="1040"/>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70"/>
    <w:bookmarkStart w:id="271" w:name="section-2.4.2-4.2.2.2"/>
    <w:p>
      <w:pPr>
        <w:numPr>
          <w:ilvl w:val="1"/>
          <w:numId w:val="1040"/>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71"/>
    <w:bookmarkStart w:id="272" w:name="section-2.4.2-4.2.2.3"/>
    <w:p>
      <w:pPr>
        <w:numPr>
          <w:ilvl w:val="1"/>
          <w:numId w:val="1040"/>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72"/>
    <w:bookmarkStart w:id="273" w:name="section-2.4.2-4.2.2.4"/>
    <w:p>
      <w:pPr>
        <w:numPr>
          <w:ilvl w:val="1"/>
          <w:numId w:val="1040"/>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73"/>
    <w:bookmarkEnd w:id="274"/>
    <w:bookmarkStart w:id="275" w:name="section-2.4.2-4.3"/>
    <w:p>
      <w:pPr>
        <w:numPr>
          <w:ilvl w:val="0"/>
          <w:numId w:val="1039"/>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5"/>
    <w:bookmarkStart w:id="276" w:name="section-2.4.2-4.4"/>
    <w:p>
      <w:pPr>
        <w:numPr>
          <w:ilvl w:val="0"/>
          <w:numId w:val="1039"/>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6"/>
    <w:bookmarkEnd w:id="277"/>
    <w:bookmarkEnd w:id="278"/>
    <w:bookmarkEnd w:id="279"/>
    <w:bookmarkEnd w:id="280"/>
    <w:bookmarkEnd w:id="281"/>
    <w:bookmarkEnd w:id="282"/>
    <w:bookmarkStart w:id="320" w:name="policy-and-posture-evaluation-events"/>
    <w:bookmarkStart w:id="319" w:name="section-2.5"/>
    <w:bookmarkStart w:id="31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Credential Service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9" w:name="issuance-policy-changed"/>
    <w:bookmarkStart w:id="288" w:name="section-2.5.1"/>
    <w:bookmarkStart w:id="28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83" w:name="section-2.5.1-4.1"/>
    <w:p>
      <w:pPr>
        <w:numPr>
          <w:ilvl w:val="0"/>
          <w:numId w:val="1041"/>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83"/>
    <w:bookmarkStart w:id="284" w:name="section-2.5.1-4.2"/>
    <w:p>
      <w:pPr>
        <w:numPr>
          <w:ilvl w:val="0"/>
          <w:numId w:val="1041"/>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84"/>
    <w:bookmarkStart w:id="285" w:name="section-2.5.1-4.3"/>
    <w:p>
      <w:pPr>
        <w:numPr>
          <w:ilvl w:val="0"/>
          <w:numId w:val="1041"/>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5"/>
    <w:bookmarkStart w:id="286" w:name="section-2.5.1-4.4"/>
    <w:p>
      <w:pPr>
        <w:numPr>
          <w:ilvl w:val="0"/>
          <w:numId w:val="1041"/>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6"/>
    <w:bookmarkEnd w:id="287"/>
    <w:bookmarkEnd w:id="288"/>
    <w:bookmarkEnd w:id="289"/>
    <w:bookmarkStart w:id="296" w:name="posture-evaluation-policy-changed"/>
    <w:bookmarkStart w:id="295" w:name="section-2.5.2"/>
    <w:bookmarkStart w:id="29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90" w:name="section-2.5.2-4.1"/>
    <w:p>
      <w:pPr>
        <w:numPr>
          <w:ilvl w:val="0"/>
          <w:numId w:val="1042"/>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90"/>
    <w:bookmarkStart w:id="291" w:name="section-2.5.2-4.2"/>
    <w:p>
      <w:pPr>
        <w:numPr>
          <w:ilvl w:val="0"/>
          <w:numId w:val="1042"/>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91"/>
    <w:bookmarkStart w:id="292" w:name="section-2.5.2-4.3"/>
    <w:p>
      <w:pPr>
        <w:numPr>
          <w:ilvl w:val="0"/>
          <w:numId w:val="1042"/>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92"/>
    <w:bookmarkStart w:id="293" w:name="section-2.5.2-4.4"/>
    <w:p>
      <w:pPr>
        <w:numPr>
          <w:ilvl w:val="0"/>
          <w:numId w:val="1042"/>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93"/>
    <w:bookmarkEnd w:id="294"/>
    <w:bookmarkEnd w:id="295"/>
    <w:bookmarkEnd w:id="296"/>
    <w:bookmarkStart w:id="303" w:name="validation-policy-changed"/>
    <w:bookmarkStart w:id="302" w:name="section-2.5.3"/>
    <w:bookmarkStart w:id="30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7" w:name="section-2.5.3-4.1"/>
    <w:p>
      <w:pPr>
        <w:numPr>
          <w:ilvl w:val="0"/>
          <w:numId w:val="1043"/>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7"/>
    <w:bookmarkStart w:id="298" w:name="section-2.5.3-4.2"/>
    <w:p>
      <w:pPr>
        <w:numPr>
          <w:ilvl w:val="0"/>
          <w:numId w:val="1043"/>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8"/>
    <w:bookmarkStart w:id="299" w:name="section-2.5.3-4.3"/>
    <w:p>
      <w:pPr>
        <w:numPr>
          <w:ilvl w:val="0"/>
          <w:numId w:val="1043"/>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9"/>
    <w:bookmarkStart w:id="300" w:name="section-2.5.3-4.4"/>
    <w:p>
      <w:pPr>
        <w:numPr>
          <w:ilvl w:val="0"/>
          <w:numId w:val="1043"/>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300"/>
    <w:bookmarkEnd w:id="301"/>
    <w:bookmarkEnd w:id="302"/>
    <w:bookmarkEnd w:id="303"/>
    <w:bookmarkStart w:id="312" w:name="posture-evaluation-failed"/>
    <w:bookmarkStart w:id="311" w:name="section-2.5.4"/>
    <w:bookmarkStart w:id="31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Credential Service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7" w:name="section-2.5.4-4.1"/>
    <w:p>
      <w:pPr>
        <w:numPr>
          <w:ilvl w:val="0"/>
          <w:numId w:val="1044"/>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304" w:name="section-2.5.4-4.1.2.1"/>
    <w:p>
      <w:pPr>
        <w:numPr>
          <w:ilvl w:val="1"/>
          <w:numId w:val="1045"/>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304"/>
    <w:bookmarkStart w:id="305" w:name="section-2.5.4-4.1.2.2"/>
    <w:p>
      <w:pPr>
        <w:numPr>
          <w:ilvl w:val="1"/>
          <w:numId w:val="1045"/>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5"/>
    <w:bookmarkStart w:id="306" w:name="section-2.5.4-4.1.2.3"/>
    <w:p>
      <w:pPr>
        <w:numPr>
          <w:ilvl w:val="1"/>
          <w:numId w:val="1045"/>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6"/>
    <w:bookmarkEnd w:id="307"/>
    <w:bookmarkStart w:id="308" w:name="section-2.5.4-4.2"/>
    <w:p>
      <w:pPr>
        <w:numPr>
          <w:ilvl w:val="0"/>
          <w:numId w:val="1044"/>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8"/>
    <w:bookmarkStart w:id="309" w:name="section-2.5.4-4.3"/>
    <w:p>
      <w:pPr>
        <w:numPr>
          <w:ilvl w:val="0"/>
          <w:numId w:val="1044"/>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9"/>
    <w:bookmarkEnd w:id="310"/>
    <w:bookmarkEnd w:id="311"/>
    <w:bookmarkEnd w:id="312"/>
    <w:bookmarkStart w:id="317" w:name="posture-evaluation-succeeded"/>
    <w:bookmarkStart w:id="316" w:name="section-2.5.5"/>
    <w:bookmarkStart w:id="31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Credential Service's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13" w:name="section-2.5.5-5.1"/>
    <w:p>
      <w:pPr>
        <w:numPr>
          <w:ilvl w:val="0"/>
          <w:numId w:val="1046"/>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13"/>
    <w:bookmarkStart w:id="314" w:name="section-2.5.5-5.2"/>
    <w:p>
      <w:pPr>
        <w:numPr>
          <w:ilvl w:val="0"/>
          <w:numId w:val="1046"/>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14"/>
    <w:bookmarkEnd w:id="315"/>
    <w:bookmarkEnd w:id="316"/>
    <w:bookmarkEnd w:id="317"/>
    <w:bookmarkEnd w:id="318"/>
    <w:bookmarkEnd w:id="319"/>
    <w:bookmarkEnd w:id="320"/>
    <w:bookmarkStart w:id="361" w:name="runtime-posture-events"/>
    <w:bookmarkStart w:id="360" w:name="section-2.6"/>
    <w:bookmarkStart w:id="35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41" w:name="workload-baseline-changed"/>
    <w:bookmarkStart w:id="340" w:name="section-2.6.1"/>
    <w:bookmarkStart w:id="33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7" w:name="section-2.6.1-4.1"/>
    <w:p>
      <w:pPr>
        <w:numPr>
          <w:ilvl w:val="0"/>
          <w:numId w:val="1047"/>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21" w:name="section-2.6.1-4.1.2.1"/>
    <w:p>
      <w:pPr>
        <w:numPr>
          <w:ilvl w:val="1"/>
          <w:numId w:val="1048"/>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21"/>
    <w:bookmarkStart w:id="322" w:name="section-2.6.1-4.1.2.2"/>
    <w:p>
      <w:pPr>
        <w:numPr>
          <w:ilvl w:val="1"/>
          <w:numId w:val="1048"/>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22"/>
    <w:bookmarkStart w:id="323" w:name="section-2.6.1-4.1.2.3"/>
    <w:p>
      <w:pPr>
        <w:numPr>
          <w:ilvl w:val="1"/>
          <w:numId w:val="1048"/>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23"/>
    <w:bookmarkStart w:id="324" w:name="section-2.6.1-4.1.2.4"/>
    <w:p>
      <w:pPr>
        <w:numPr>
          <w:ilvl w:val="1"/>
          <w:numId w:val="1048"/>
        </w:numPr>
      </w:pPr>
      <w:r>
        <w:rPr>
          <w:rStyle w:val="VerbatimChar"/>
        </w:rPr>
        <w:t xml:space="preserve">image-update</w:t>
      </w:r>
      <w:r>
        <w:t xml:space="preserve"> </w:t>
      </w:r>
      <w:r>
        <w:t xml:space="preserve">- Runtime image or binary was updated.</w:t>
      </w:r>
      <w:hyperlink w:anchor="section-2.6.1-4.1.2.4.1">
        <w:r>
          <w:rPr>
            <w:rStyle w:val="Hyperlink"/>
          </w:rPr>
          <w:t xml:space="preserve">¶</w:t>
        </w:r>
      </w:hyperlink>
    </w:p>
    <w:bookmarkEnd w:id="324"/>
    <w:bookmarkStart w:id="325" w:name="section-2.6.1-4.1.2.5"/>
    <w:p>
      <w:pPr>
        <w:numPr>
          <w:ilvl w:val="1"/>
          <w:numId w:val="1048"/>
        </w:numPr>
      </w:pPr>
      <w:r>
        <w:rPr>
          <w:rStyle w:val="VerbatimChar"/>
        </w:rPr>
        <w:t xml:space="preserve">config-change</w:t>
      </w:r>
      <w:r>
        <w:t xml:space="preserve"> </w:t>
      </w:r>
      <w:r>
        <w:t xml:space="preserve">- Configuration affecting identity posture changed.</w:t>
      </w:r>
      <w:hyperlink w:anchor="section-2.6.1-4.1.2.5.1">
        <w:r>
          <w:rPr>
            <w:rStyle w:val="Hyperlink"/>
          </w:rPr>
          <w:t xml:space="preserve">¶</w:t>
        </w:r>
      </w:hyperlink>
    </w:p>
    <w:bookmarkEnd w:id="325"/>
    <w:bookmarkStart w:id="326" w:name="section-2.6.1-4.1.2.6"/>
    <w:p>
      <w:pPr>
        <w:numPr>
          <w:ilvl w:val="1"/>
          <w:numId w:val="1048"/>
        </w:numPr>
      </w:pPr>
      <w:r>
        <w:rPr>
          <w:rStyle w:val="VerbatimChar"/>
        </w:rPr>
        <w:t xml:space="preserve">node-reassignment</w:t>
      </w:r>
      <w:r>
        <w:t xml:space="preserve"> </w:t>
      </w:r>
      <w:r>
        <w:t xml:space="preserve">- Underlying compute node changed.</w:t>
      </w:r>
      <w:hyperlink w:anchor="section-2.6.1-4.1.2.6.1">
        <w:r>
          <w:rPr>
            <w:rStyle w:val="Hyperlink"/>
          </w:rPr>
          <w:t xml:space="preserve">¶</w:t>
        </w:r>
      </w:hyperlink>
    </w:p>
    <w:bookmarkEnd w:id="326"/>
    <w:bookmarkEnd w:id="327"/>
    <w:bookmarkStart w:id="328" w:name="section-2.6.1-4.2"/>
    <w:p>
      <w:pPr>
        <w:numPr>
          <w:ilvl w:val="0"/>
          <w:numId w:val="1047"/>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8"/>
    <w:bookmarkStart w:id="329" w:name="section-2.6.1-4.3"/>
    <w:p>
      <w:pPr>
        <w:numPr>
          <w:ilvl w:val="0"/>
          <w:numId w:val="1047"/>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9"/>
    <w:bookmarkStart w:id="333" w:name="section-2.6.1-4.4"/>
    <w:p>
      <w:pPr>
        <w:numPr>
          <w:ilvl w:val="0"/>
          <w:numId w:val="1047"/>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30" w:name="section-2.6.1-4.4.2.1"/>
    <w:p>
      <w:pPr>
        <w:numPr>
          <w:ilvl w:val="1"/>
          <w:numId w:val="1049"/>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30"/>
    <w:bookmarkStart w:id="331" w:name="section-2.6.1-4.4.2.2"/>
    <w:p>
      <w:pPr>
        <w:numPr>
          <w:ilvl w:val="1"/>
          <w:numId w:val="1049"/>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31"/>
    <w:bookmarkStart w:id="332" w:name="section-2.6.1-4.4.2.3"/>
    <w:p>
      <w:pPr>
        <w:numPr>
          <w:ilvl w:val="1"/>
          <w:numId w:val="1049"/>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32"/>
    <w:bookmarkEnd w:id="333"/>
    <w:bookmarkStart w:id="334" w:name="section-2.6.1-4.5"/>
    <w:p>
      <w:pPr>
        <w:numPr>
          <w:ilvl w:val="0"/>
          <w:numId w:val="1047"/>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34"/>
    <w:p>
      <w:pPr>
        <w:pStyle w:val="FirstParagraph"/>
      </w:pPr>
      <w:r>
        <w:t xml:space="preserve">The following example is non-normative.</w:t>
      </w:r>
      <w:hyperlink w:anchor="section-2.6.1-5">
        <w:r>
          <w:rPr>
            <w:rStyle w:val="Hyperlink"/>
          </w:rPr>
          <w:t xml:space="preserve">¶</w:t>
        </w:r>
      </w:hyperlink>
    </w:p>
    <w:p>
      <w:pPr>
        <w:pStyle w:val="BodyText"/>
      </w:pPr>
      <w:bookmarkStart w:id="335" w:name="name-example-workload-baseline-c"/>
      <w:bookmarkEnd w:id="335"/>
    </w:p>
    <w:bookmarkStart w:id="338" w:name="fig-baseline-changed"/>
    <w:bookmarkStart w:id="337" w:name="figure-10"/>
    <w:tbl>
      <w:tblPr>
        <w:tblStyle w:val="FigureTable"/>
        <w:tblW w:type="auto" w:w="0"/>
        <w:jc w:val="center"/>
        <w:tblLook w:firstRow="0" w:lastRow="0" w:firstColumn="0" w:lastColumn="0"/>
      </w:tblPr>
      <w:tblGrid>
        <w:gridCol w:w="7920"/>
      </w:tblGrid>
      <w:tr>
        <w:tc>
          <w:tcPr/>
          <w:bookmarkStart w:id="33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6"/>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7"/>
    <w:bookmarkEnd w:id="338"/>
    <w:bookmarkEnd w:id="339"/>
    <w:bookmarkEnd w:id="340"/>
    <w:bookmarkEnd w:id="341"/>
    <w:bookmarkStart w:id="347" w:name="workload-compromised"/>
    <w:bookmarkStart w:id="346" w:name="section-2.6.2"/>
    <w:bookmarkStart w:id="34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42" w:name="section-2.6.2-4.1"/>
    <w:p>
      <w:pPr>
        <w:numPr>
          <w:ilvl w:val="0"/>
          <w:numId w:val="1050"/>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42"/>
    <w:bookmarkStart w:id="343" w:name="section-2.6.2-4.2"/>
    <w:p>
      <w:pPr>
        <w:numPr>
          <w:ilvl w:val="0"/>
          <w:numId w:val="1050"/>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43"/>
    <w:bookmarkStart w:id="344" w:name="section-2.6.2-4.3"/>
    <w:p>
      <w:pPr>
        <w:numPr>
          <w:ilvl w:val="0"/>
          <w:numId w:val="1050"/>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44"/>
    <w:bookmarkEnd w:id="345"/>
    <w:bookmarkEnd w:id="346"/>
    <w:bookmarkEnd w:id="347"/>
    <w:bookmarkStart w:id="358" w:name="anomalous-behavior-detected"/>
    <w:bookmarkStart w:id="357" w:name="section-2.6.3"/>
    <w:bookmarkStart w:id="35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8" w:name="section-2.6.3-4.1"/>
    <w:p>
      <w:pPr>
        <w:numPr>
          <w:ilvl w:val="0"/>
          <w:numId w:val="1051"/>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8"/>
    <w:bookmarkStart w:id="353" w:name="section-2.6.3-4.2"/>
    <w:p>
      <w:pPr>
        <w:numPr>
          <w:ilvl w:val="0"/>
          <w:numId w:val="1051"/>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9" w:name="section-2.6.3-4.2.2.1"/>
    <w:p>
      <w:pPr>
        <w:numPr>
          <w:ilvl w:val="1"/>
          <w:numId w:val="1052"/>
        </w:numPr>
      </w:pPr>
      <w:r>
        <w:rPr>
          <w:rStyle w:val="VerbatimChar"/>
        </w:rPr>
        <w:t xml:space="preserve">low</w:t>
      </w:r>
      <w:hyperlink w:anchor="section-2.6.3-4.2.2.1.1">
        <w:r>
          <w:rPr>
            <w:rStyle w:val="Hyperlink"/>
          </w:rPr>
          <w:t xml:space="preserve">¶</w:t>
        </w:r>
      </w:hyperlink>
    </w:p>
    <w:bookmarkEnd w:id="349"/>
    <w:bookmarkStart w:id="350" w:name="section-2.6.3-4.2.2.2"/>
    <w:p>
      <w:pPr>
        <w:numPr>
          <w:ilvl w:val="1"/>
          <w:numId w:val="1052"/>
        </w:numPr>
      </w:pPr>
      <w:r>
        <w:rPr>
          <w:rStyle w:val="VerbatimChar"/>
        </w:rPr>
        <w:t xml:space="preserve">medium</w:t>
      </w:r>
      <w:hyperlink w:anchor="section-2.6.3-4.2.2.2.1">
        <w:r>
          <w:rPr>
            <w:rStyle w:val="Hyperlink"/>
          </w:rPr>
          <w:t xml:space="preserve">¶</w:t>
        </w:r>
      </w:hyperlink>
    </w:p>
    <w:bookmarkEnd w:id="350"/>
    <w:bookmarkStart w:id="351" w:name="section-2.6.3-4.2.2.3"/>
    <w:p>
      <w:pPr>
        <w:numPr>
          <w:ilvl w:val="1"/>
          <w:numId w:val="1052"/>
        </w:numPr>
      </w:pPr>
      <w:r>
        <w:rPr>
          <w:rStyle w:val="VerbatimChar"/>
        </w:rPr>
        <w:t xml:space="preserve">high</w:t>
      </w:r>
      <w:hyperlink w:anchor="section-2.6.3-4.2.2.3.1">
        <w:r>
          <w:rPr>
            <w:rStyle w:val="Hyperlink"/>
          </w:rPr>
          <w:t xml:space="preserve">¶</w:t>
        </w:r>
      </w:hyperlink>
    </w:p>
    <w:bookmarkEnd w:id="351"/>
    <w:bookmarkStart w:id="352" w:name="section-2.6.3-4.2.2.4"/>
    <w:p>
      <w:pPr>
        <w:numPr>
          <w:ilvl w:val="1"/>
          <w:numId w:val="1052"/>
        </w:numPr>
      </w:pPr>
      <w:r>
        <w:rPr>
          <w:rStyle w:val="VerbatimChar"/>
        </w:rPr>
        <w:t xml:space="preserve">critical</w:t>
      </w:r>
      <w:hyperlink w:anchor="section-2.6.3-4.2.2.4.1">
        <w:r>
          <w:rPr>
            <w:rStyle w:val="Hyperlink"/>
          </w:rPr>
          <w:t xml:space="preserve">¶</w:t>
        </w:r>
      </w:hyperlink>
    </w:p>
    <w:bookmarkEnd w:id="352"/>
    <w:bookmarkEnd w:id="353"/>
    <w:bookmarkStart w:id="354" w:name="section-2.6.3-4.3"/>
    <w:p>
      <w:pPr>
        <w:numPr>
          <w:ilvl w:val="0"/>
          <w:numId w:val="1051"/>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54"/>
    <w:bookmarkStart w:id="355" w:name="section-2.6.3-4.4"/>
    <w:p>
      <w:pPr>
        <w:numPr>
          <w:ilvl w:val="0"/>
          <w:numId w:val="1051"/>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5"/>
    <w:bookmarkEnd w:id="356"/>
    <w:bookmarkEnd w:id="357"/>
    <w:bookmarkEnd w:id="358"/>
    <w:bookmarkEnd w:id="359"/>
    <w:bookmarkEnd w:id="360"/>
    <w:bookmarkEnd w:id="361"/>
    <w:bookmarkStart w:id="397" w:name="supply-chain-events"/>
    <w:bookmarkStart w:id="396" w:name="section-2.7"/>
    <w:bookmarkStart w:id="39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77" w:name="workload-provenance-changed"/>
    <w:bookmarkStart w:id="376" w:name="section-2.7.1"/>
    <w:bookmarkStart w:id="37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65" w:name="section-2.7.1-4.1"/>
    <w:p>
      <w:pPr>
        <w:numPr>
          <w:ilvl w:val="0"/>
          <w:numId w:val="1053"/>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62" w:name="section-2.7.1-4.1.2.1"/>
    <w:p>
      <w:pPr>
        <w:numPr>
          <w:ilvl w:val="1"/>
          <w:numId w:val="1054"/>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62"/>
    <w:bookmarkStart w:id="363" w:name="section-2.7.1-4.1.2.2"/>
    <w:p>
      <w:pPr>
        <w:numPr>
          <w:ilvl w:val="1"/>
          <w:numId w:val="1054"/>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63"/>
    <w:bookmarkStart w:id="364" w:name="section-2.7.1-4.1.2.3"/>
    <w:p>
      <w:pPr>
        <w:numPr>
          <w:ilvl w:val="1"/>
          <w:numId w:val="1054"/>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64"/>
    <w:bookmarkEnd w:id="365"/>
    <w:bookmarkStart w:id="366" w:name="section-2.7.1-4.2"/>
    <w:p>
      <w:pPr>
        <w:numPr>
          <w:ilvl w:val="0"/>
          <w:numId w:val="1053"/>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66"/>
    <w:bookmarkStart w:id="367" w:name="section-2.7.1-4.3"/>
    <w:p>
      <w:pPr>
        <w:numPr>
          <w:ilvl w:val="0"/>
          <w:numId w:val="1053"/>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67"/>
    <w:bookmarkStart w:id="368" w:name="section-2.7.1-4.4"/>
    <w:p>
      <w:pPr>
        <w:numPr>
          <w:ilvl w:val="0"/>
          <w:numId w:val="1053"/>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68"/>
    <w:bookmarkStart w:id="369" w:name="section-2.7.1-4.5"/>
    <w:p>
      <w:pPr>
        <w:numPr>
          <w:ilvl w:val="0"/>
          <w:numId w:val="1053"/>
        </w:numPr>
      </w:pPr>
      <w:r>
        <w:rPr>
          <w:b/>
          <w:bCs/>
        </w:rPr>
        <w:t xml:space="preserve">reason_admin</w:t>
      </w:r>
      <w:r>
        <w:t xml:space="preserve"> </w:t>
      </w:r>
      <w:r>
        <w:t xml:space="preserve">- OPTIONAL. A human-readable description of the change, intended for administrators.</w:t>
      </w:r>
      <w:hyperlink w:anchor="section-2.7.1-4.5.1">
        <w:r>
          <w:rPr>
            <w:rStyle w:val="Hyperlink"/>
          </w:rPr>
          <w:t xml:space="preserve">¶</w:t>
        </w:r>
      </w:hyperlink>
    </w:p>
    <w:bookmarkEnd w:id="369"/>
    <w:bookmarkStart w:id="370" w:name="section-2.7.1-4.6"/>
    <w:p>
      <w:pPr>
        <w:numPr>
          <w:ilvl w:val="0"/>
          <w:numId w:val="1053"/>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70"/>
    <w:p>
      <w:pPr>
        <w:pStyle w:val="FirstParagraph"/>
      </w:pPr>
      <w:r>
        <w:t xml:space="preserve">The following example is non-normative.</w:t>
      </w:r>
      <w:hyperlink w:anchor="section-2.7.1-5">
        <w:r>
          <w:rPr>
            <w:rStyle w:val="Hyperlink"/>
          </w:rPr>
          <w:t xml:space="preserve">¶</w:t>
        </w:r>
      </w:hyperlink>
    </w:p>
    <w:p>
      <w:pPr>
        <w:pStyle w:val="BodyText"/>
      </w:pPr>
      <w:bookmarkStart w:id="371" w:name="name-example-workload-provenance"/>
      <w:bookmarkEnd w:id="371"/>
    </w:p>
    <w:bookmarkStart w:id="374" w:name="fig-provenance-changed"/>
    <w:bookmarkStart w:id="373" w:name="figure-11"/>
    <w:tbl>
      <w:tblPr>
        <w:tblStyle w:val="FigureTable"/>
        <w:tblW w:type="auto" w:w="0"/>
        <w:jc w:val="center"/>
        <w:tblLook w:firstRow="0" w:lastRow="0" w:firstColumn="0" w:lastColumn="0"/>
      </w:tblPr>
      <w:tblGrid>
        <w:gridCol w:w="7920"/>
      </w:tblGrid>
      <w:tr>
        <w:tc>
          <w:tcPr/>
          <w:bookmarkStart w:id="37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w:t>
            </w:r>
          </w:p>
          <w:bookmarkEnd w:id="372"/>
        </w:tc>
      </w:tr>
    </w:tbl>
    <w:p>
      <w:pPr>
        <w:pStyle w:val="ImageCaption"/>
      </w:pPr>
      <w:hyperlink w:anchor="figure-11">
        <w:r>
          <w:rPr>
            <w:rStyle w:val="Hyperlink"/>
          </w:rPr>
          <w:t xml:space="preserve">Figure 11</w:t>
        </w:r>
      </w:hyperlink>
      <w:r>
        <w:t xml:space="preserve">:</w:t>
      </w:r>
      <w:r>
        <w:t xml:space="preserve"> </w:t>
      </w:r>
      <w:hyperlink w:anchor="name-example-workload-provenance">
        <w:r>
          <w:rPr>
            <w:rStyle w:val="Hyperlink"/>
          </w:rPr>
          <w:t xml:space="preserve">Example: Workload Provenance Changed</w:t>
        </w:r>
      </w:hyperlink>
    </w:p>
    <w:bookmarkEnd w:id="373"/>
    <w:bookmarkEnd w:id="374"/>
    <w:bookmarkEnd w:id="375"/>
    <w:bookmarkEnd w:id="376"/>
    <w:bookmarkEnd w:id="377"/>
    <w:bookmarkStart w:id="394" w:name="workload-vulnerability-status-changed"/>
    <w:bookmarkStart w:id="393" w:name="section-2.7.2"/>
    <w:bookmarkStart w:id="39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78" w:name="section-2.7.2-4.1"/>
    <w:p>
      <w:pPr>
        <w:numPr>
          <w:ilvl w:val="0"/>
          <w:numId w:val="1055"/>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78"/>
    <w:bookmarkStart w:id="383" w:name="section-2.7.2-4.2"/>
    <w:p>
      <w:pPr>
        <w:numPr>
          <w:ilvl w:val="0"/>
          <w:numId w:val="1055"/>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79" w:name="section-2.7.2-4.2.2.1"/>
    <w:p>
      <w:pPr>
        <w:numPr>
          <w:ilvl w:val="1"/>
          <w:numId w:val="1056"/>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79"/>
    <w:bookmarkStart w:id="380" w:name="section-2.7.2-4.2.2.2"/>
    <w:p>
      <w:pPr>
        <w:numPr>
          <w:ilvl w:val="1"/>
          <w:numId w:val="1056"/>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80"/>
    <w:bookmarkStart w:id="381" w:name="section-2.7.2-4.2.2.3"/>
    <w:p>
      <w:pPr>
        <w:numPr>
          <w:ilvl w:val="1"/>
          <w:numId w:val="1056"/>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81"/>
    <w:bookmarkStart w:id="382" w:name="section-2.7.2-4.2.2.4"/>
    <w:p>
      <w:pPr>
        <w:numPr>
          <w:ilvl w:val="1"/>
          <w:numId w:val="1056"/>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82"/>
    <w:bookmarkEnd w:id="383"/>
    <w:bookmarkStart w:id="384" w:name="section-2.7.2-4.3"/>
    <w:p>
      <w:pPr>
        <w:numPr>
          <w:ilvl w:val="0"/>
          <w:numId w:val="1055"/>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84"/>
    <w:bookmarkStart w:id="385" w:name="section-2.7.2-4.4"/>
    <w:p>
      <w:pPr>
        <w:numPr>
          <w:ilvl w:val="0"/>
          <w:numId w:val="1055"/>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85"/>
    <w:bookmarkStart w:id="386" w:name="section-2.7.2-4.5"/>
    <w:p>
      <w:pPr>
        <w:numPr>
          <w:ilvl w:val="0"/>
          <w:numId w:val="1055"/>
        </w:numPr>
      </w:pPr>
      <w:r>
        <w:rPr>
          <w:b/>
          <w:bCs/>
        </w:rPr>
        <w:t xml:space="preserve">reason_admin</w:t>
      </w:r>
      <w:r>
        <w:t xml:space="preserve"> </w:t>
      </w:r>
      <w:r>
        <w:t xml:space="preserve">- OPTIONAL. A human-readable description, intended for administrators.</w:t>
      </w:r>
      <w:hyperlink w:anchor="section-2.7.2-4.5.1">
        <w:r>
          <w:rPr>
            <w:rStyle w:val="Hyperlink"/>
          </w:rPr>
          <w:t xml:space="preserve">¶</w:t>
        </w:r>
      </w:hyperlink>
    </w:p>
    <w:bookmarkEnd w:id="386"/>
    <w:bookmarkStart w:id="387" w:name="section-2.7.2-4.6"/>
    <w:p>
      <w:pPr>
        <w:numPr>
          <w:ilvl w:val="0"/>
          <w:numId w:val="1055"/>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87"/>
    <w:p>
      <w:pPr>
        <w:pStyle w:val="FirstParagraph"/>
      </w:pPr>
      <w:r>
        <w:t xml:space="preserve">The following example is non-normative.</w:t>
      </w:r>
      <w:hyperlink w:anchor="section-2.7.2-5">
        <w:r>
          <w:rPr>
            <w:rStyle w:val="Hyperlink"/>
          </w:rPr>
          <w:t xml:space="preserve">¶</w:t>
        </w:r>
      </w:hyperlink>
    </w:p>
    <w:p>
      <w:pPr>
        <w:pStyle w:val="BodyText"/>
      </w:pPr>
      <w:bookmarkStart w:id="388" w:name="name-example-workload-vulnerabil"/>
      <w:bookmarkEnd w:id="388"/>
    </w:p>
    <w:bookmarkStart w:id="391" w:name="fig-vulnerability-status-changed"/>
    <w:bookmarkStart w:id="390" w:name="figure-12"/>
    <w:tbl>
      <w:tblPr>
        <w:tblStyle w:val="FigureTable"/>
        <w:tblW w:type="auto" w:w="0"/>
        <w:jc w:val="center"/>
        <w:tblLook w:firstRow="0" w:lastRow="0" w:firstColumn="0" w:lastColumn="0"/>
      </w:tblPr>
      <w:tblGrid>
        <w:gridCol w:w="7920"/>
      </w:tblGrid>
      <w:tr>
        <w:tc>
          <w:tcPr/>
          <w:bookmarkStart w:id="38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89"/>
        </w:tc>
      </w:tr>
    </w:tbl>
    <w:p>
      <w:pPr>
        <w:pStyle w:val="ImageCaption"/>
      </w:pPr>
      <w:hyperlink w:anchor="figure-12">
        <w:r>
          <w:rPr>
            <w:rStyle w:val="Hyperlink"/>
          </w:rPr>
          <w:t xml:space="preserve">Figure 12</w:t>
        </w:r>
      </w:hyperlink>
      <w:r>
        <w:t xml:space="preserve">:</w:t>
      </w:r>
      <w:r>
        <w:t xml:space="preserve"> </w:t>
      </w:r>
      <w:hyperlink w:anchor="name-example-workload-vulnerabil">
        <w:r>
          <w:rPr>
            <w:rStyle w:val="Hyperlink"/>
          </w:rPr>
          <w:t xml:space="preserve">Example: Workload Vulnerability Status Changed</w:t>
        </w:r>
      </w:hyperlink>
    </w:p>
    <w:bookmarkEnd w:id="390"/>
    <w:bookmarkEnd w:id="391"/>
    <w:bookmarkEnd w:id="392"/>
    <w:bookmarkEnd w:id="393"/>
    <w:bookmarkEnd w:id="394"/>
    <w:bookmarkEnd w:id="395"/>
    <w:bookmarkEnd w:id="396"/>
    <w:bookmarkEnd w:id="397"/>
    <w:bookmarkEnd w:id="398"/>
    <w:bookmarkEnd w:id="399"/>
    <w:bookmarkEnd w:id="400"/>
    <w:bookmarkStart w:id="413" w:name="subject-identifiers-for-workload-events"/>
    <w:bookmarkStart w:id="412" w:name="section-3"/>
    <w:bookmarkStart w:id="41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406" w:name="uri-format"/>
    <w:bookmarkStart w:id="405" w:name="section-3.1"/>
    <w:bookmarkStart w:id="40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40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40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40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40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40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403"/>
    <w:bookmarkEnd w:id="404"/>
    <w:bookmarkEnd w:id="405"/>
    <w:bookmarkEnd w:id="406"/>
    <w:bookmarkStart w:id="410" w:name="trust-domain-subject"/>
    <w:bookmarkStart w:id="409" w:name="section-3.2"/>
    <w:bookmarkStart w:id="40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40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407"/>
    <w:bookmarkEnd w:id="408"/>
    <w:bookmarkEnd w:id="409"/>
    <w:bookmarkEnd w:id="410"/>
    <w:bookmarkEnd w:id="411"/>
    <w:bookmarkEnd w:id="412"/>
    <w:bookmarkEnd w:id="413"/>
    <w:bookmarkStart w:id="437" w:name="security-considerations"/>
    <w:bookmarkStart w:id="436" w:name="section-4"/>
    <w:bookmarkStart w:id="43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16" w:name="confidentiality"/>
    <w:bookmarkStart w:id="415" w:name="section-4.1"/>
    <w:bookmarkStart w:id="41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All network requests in this protocol MUST use TLS, and the use of TLS MUST follow the recommendations in</w:t>
      </w:r>
      <w:r>
        <w:t xml:space="preserve"> </w:t>
      </w:r>
      <w:r>
        <w:t xml:space="preserve">[</w:t>
      </w:r>
      <w:hyperlink w:anchor="RFC9325">
        <w:r>
          <w:rPr>
            <w:rStyle w:val="Hyperlink"/>
          </w:rPr>
          <w:t xml:space="preserve">RFC9325</w:t>
        </w:r>
      </w:hyperlink>
      <w:r>
        <w:t xml:space="preserve">]</w:t>
      </w:r>
      <w:r>
        <w:t xml:space="preserve">.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414"/>
    <w:bookmarkEnd w:id="415"/>
    <w:bookmarkEnd w:id="416"/>
    <w:bookmarkStart w:id="419" w:name="replay-and-freshness"/>
    <w:bookmarkStart w:id="418" w:name="section-4.2"/>
    <w:bookmarkStart w:id="41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417"/>
    <w:bookmarkEnd w:id="418"/>
    <w:bookmarkEnd w:id="419"/>
    <w:bookmarkStart w:id="422" w:name="authorization"/>
    <w:bookmarkStart w:id="421" w:name="section-4.3"/>
    <w:bookmarkStart w:id="42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420"/>
    <w:bookmarkEnd w:id="421"/>
    <w:bookmarkEnd w:id="422"/>
    <w:bookmarkStart w:id="425" w:name="compromise-response"/>
    <w:bookmarkStart w:id="424" w:name="section-4.4"/>
    <w:bookmarkStart w:id="42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423"/>
    <w:bookmarkEnd w:id="424"/>
    <w:bookmarkEnd w:id="425"/>
    <w:bookmarkStart w:id="431" w:name="Xe343e951bcb2a323bbf0deb73e6709f2b713101"/>
    <w:bookmarkStart w:id="430" w:name="section-4.5"/>
    <w:bookmarkStart w:id="42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426" w:name="section-4.5-2.1"/>
    <w:p>
      <w:pPr>
        <w:numPr>
          <w:ilvl w:val="0"/>
          <w:numId w:val="1057"/>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426"/>
    <w:bookmarkStart w:id="427" w:name="section-4.5-2.2"/>
    <w:p>
      <w:pPr>
        <w:numPr>
          <w:ilvl w:val="0"/>
          <w:numId w:val="1057"/>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427"/>
    <w:bookmarkStart w:id="428" w:name="section-4.5-2.3"/>
    <w:p>
      <w:pPr>
        <w:numPr>
          <w:ilvl w:val="0"/>
          <w:numId w:val="1057"/>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42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429"/>
    <w:bookmarkEnd w:id="430"/>
    <w:bookmarkEnd w:id="431"/>
    <w:bookmarkStart w:id="434" w:name="supply-chain-signals"/>
    <w:bookmarkStart w:id="433" w:name="section-4.6"/>
    <w:bookmarkStart w:id="43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432"/>
    <w:bookmarkEnd w:id="433"/>
    <w:bookmarkEnd w:id="434"/>
    <w:bookmarkEnd w:id="435"/>
    <w:bookmarkEnd w:id="436"/>
    <w:bookmarkEnd w:id="437"/>
    <w:bookmarkStart w:id="440" w:name="privacy-considerations"/>
    <w:bookmarkStart w:id="439" w:name="section-5"/>
    <w:bookmarkStart w:id="43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438"/>
    <w:bookmarkEnd w:id="439"/>
    <w:bookmarkEnd w:id="440"/>
    <w:bookmarkStart w:id="443" w:name="iana-considerations"/>
    <w:bookmarkStart w:id="442" w:name="section-6"/>
    <w:bookmarkStart w:id="44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41"/>
    <w:bookmarkEnd w:id="442"/>
    <w:bookmarkEnd w:id="443"/>
    <w:bookmarkStart w:id="473" w:name="sec-combined-references"/>
    <w:bookmarkStart w:id="472" w:name="section-7"/>
    <w:bookmarkStart w:id="471"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61" w:name="sec-normative-references"/>
    <w:bookmarkStart w:id="460" w:name="section-7.1"/>
    <w:bookmarkStart w:id="459"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44">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45">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46">
        <w:r>
          <w:rPr>
            <w:rStyle w:val="Hyperlink"/>
          </w:rPr>
          <w:t xml:space="preserve">https://www.rfc-editor.org/rfc/rfc7516</w:t>
        </w:r>
      </w:hyperlink>
      <w:r>
        <w:t xml:space="preserve">&gt;</w:t>
      </w:r>
      <w:r>
        <w:t xml:space="preserve">.</w:t>
      </w:r>
    </w:p>
    <w:p>
      <w:pPr>
        <w:pStyle w:val="DefinitionTerm"/>
      </w:pPr>
      <w:r>
        <w:t xml:space="preserve">[RFC7523]</w:t>
      </w:r>
    </w:p>
    <w:p>
      <w:pPr>
        <w:pStyle w:val="Definition"/>
      </w:pPr>
      <w:r>
        <w:t xml:space="preserve">Jones, M.</w:t>
      </w:r>
      <w:r>
        <w:t xml:space="preserve">,</w:t>
      </w:r>
      <w:r>
        <w:t xml:space="preserve"> </w:t>
      </w:r>
      <w:r>
        <w:t xml:space="preserve">Campbell, B.</w:t>
      </w:r>
      <w:r>
        <w:t xml:space="preserve">, and</w:t>
      </w:r>
      <w:r>
        <w:t xml:space="preserve"> </w:t>
      </w:r>
      <w:r>
        <w:t xml:space="preserve">C. Mortimore</w:t>
      </w:r>
      <w:r>
        <w:t xml:space="preserve">,</w:t>
      </w:r>
      <w:r>
        <w:t xml:space="preserve"> </w:t>
      </w:r>
      <w:r>
        <w:t xml:space="preserve">"JSON Web Token (JWT) Profile for OAuth 2.0 Client Authentication and Authorization Grants"</w:t>
      </w:r>
      <w:r>
        <w:t xml:space="preserve">,</w:t>
      </w:r>
      <w:r>
        <w:t xml:space="preserve"> </w:t>
      </w:r>
      <w:r>
        <w:t xml:space="preserve">RFC 7523</w:t>
      </w:r>
      <w:r>
        <w:t xml:space="preserve">,</w:t>
      </w:r>
      <w:r>
        <w:t xml:space="preserve"> </w:t>
      </w:r>
      <w:r>
        <w:t xml:space="preserve">DOI 10.17487/RFC7523</w:t>
      </w:r>
      <w:r>
        <w:t xml:space="preserve">, May 2015,</w:t>
      </w:r>
      <w:r>
        <w:t xml:space="preserve"> </w:t>
      </w:r>
      <w:r>
        <w:t xml:space="preserve">&lt;</w:t>
      </w:r>
      <w:hyperlink r:id="rId447">
        <w:r>
          <w:rPr>
            <w:rStyle w:val="Hyperlink"/>
          </w:rPr>
          <w:t xml:space="preserve">https://www.rfc-editor.org/rfc/rfc7523</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48">
        <w:r>
          <w:rPr>
            <w:rStyle w:val="Hyperlink"/>
          </w:rPr>
          <w:t xml:space="preserve">https://www.rfc-editor.org/rfc/rfc8417</w:t>
        </w:r>
      </w:hyperlink>
      <w:r>
        <w:t xml:space="preserve">&gt;</w:t>
      </w:r>
      <w:r>
        <w:t xml:space="preserve">.</w:t>
      </w:r>
    </w:p>
    <w:p>
      <w:pPr>
        <w:pStyle w:val="DefinitionTerm"/>
      </w:pPr>
      <w:r>
        <w:t xml:space="preserve">[RFC8705]</w:t>
      </w:r>
    </w:p>
    <w:p>
      <w:pPr>
        <w:pStyle w:val="Definition"/>
      </w:pPr>
      <w:r>
        <w:t xml:space="preserve">Campbell, B.</w:t>
      </w:r>
      <w:r>
        <w:t xml:space="preserve">,</w:t>
      </w:r>
      <w:r>
        <w:t xml:space="preserve"> </w:t>
      </w:r>
      <w:r>
        <w:t xml:space="preserve">Bradley, J.</w:t>
      </w:r>
      <w:r>
        <w:t xml:space="preserve">,</w:t>
      </w:r>
      <w:r>
        <w:t xml:space="preserve"> </w:t>
      </w:r>
      <w:r>
        <w:t xml:space="preserve">Sakimura, N.</w:t>
      </w:r>
      <w:r>
        <w:t xml:space="preserve">, and</w:t>
      </w:r>
      <w:r>
        <w:t xml:space="preserve"> </w:t>
      </w:r>
      <w:r>
        <w:t xml:space="preserve">T. Lodderstedt</w:t>
      </w:r>
      <w:r>
        <w:t xml:space="preserve">,</w:t>
      </w:r>
      <w:r>
        <w:t xml:space="preserve"> </w:t>
      </w:r>
      <w:r>
        <w:t xml:space="preserve">"OAuth 2.0 Mutual-TLS Client Authentication and Certificate-Bound Access Tokens"</w:t>
      </w:r>
      <w:r>
        <w:t xml:space="preserve">,</w:t>
      </w:r>
      <w:r>
        <w:t xml:space="preserve"> </w:t>
      </w:r>
      <w:r>
        <w:t xml:space="preserve">RFC 8705</w:t>
      </w:r>
      <w:r>
        <w:t xml:space="preserve">,</w:t>
      </w:r>
      <w:r>
        <w:t xml:space="preserve"> </w:t>
      </w:r>
      <w:r>
        <w:t xml:space="preserve">DOI 10.17487/RFC8705</w:t>
      </w:r>
      <w:r>
        <w:t xml:space="preserve">, February 2020,</w:t>
      </w:r>
      <w:r>
        <w:t xml:space="preserve"> </w:t>
      </w:r>
      <w:r>
        <w:t xml:space="preserve">&lt;</w:t>
      </w:r>
      <w:hyperlink r:id="rId449">
        <w:r>
          <w:rPr>
            <w:rStyle w:val="Hyperlink"/>
          </w:rPr>
          <w:t xml:space="preserve">https://www.rfc-editor.org/rfc/rfc8705</w:t>
        </w:r>
      </w:hyperlink>
      <w:r>
        <w:t xml:space="preserve">&gt;</w:t>
      </w:r>
      <w:r>
        <w:t xml:space="preserve">.</w:t>
      </w:r>
    </w:p>
    <w:p>
      <w:pPr>
        <w:pStyle w:val="DefinitionTerm"/>
      </w:pPr>
      <w:r>
        <w:t xml:space="preserve">[RFC9325]</w:t>
      </w:r>
    </w:p>
    <w:p>
      <w:pPr>
        <w:pStyle w:val="Definition"/>
      </w:pPr>
      <w:r>
        <w:t xml:space="preserve">Sheffer, Y.</w:t>
      </w:r>
      <w:r>
        <w:t xml:space="preserve">,</w:t>
      </w:r>
      <w:r>
        <w:t xml:space="preserve"> </w:t>
      </w:r>
      <w:r>
        <w:t xml:space="preserve">Saint-Andre, P.</w:t>
      </w:r>
      <w:r>
        <w:t xml:space="preserve">, and</w:t>
      </w:r>
      <w:r>
        <w:t xml:space="preserve"> </w:t>
      </w:r>
      <w:r>
        <w:t xml:space="preserve">T. Fossati</w:t>
      </w:r>
      <w:r>
        <w:t xml:space="preserve">,</w:t>
      </w:r>
      <w:r>
        <w:t xml:space="preserve"> </w:t>
      </w:r>
      <w:r>
        <w:t xml:space="preserve">"Recommendations for Secure Use of Transport Layer Security (TLS) and Datagram Transport Layer Security (DTLS)"</w:t>
      </w:r>
      <w:r>
        <w:t xml:space="preserve">,</w:t>
      </w:r>
      <w:r>
        <w:t xml:space="preserve"> </w:t>
      </w:r>
      <w:r>
        <w:t xml:space="preserve">BCP 195</w:t>
      </w:r>
      <w:r>
        <w:t xml:space="preserve">,</w:t>
      </w:r>
      <w:r>
        <w:t xml:space="preserve"> </w:t>
      </w:r>
      <w:r>
        <w:t xml:space="preserve">RFC 9325</w:t>
      </w:r>
      <w:r>
        <w:t xml:space="preserve">,</w:t>
      </w:r>
      <w:r>
        <w:t xml:space="preserve"> </w:t>
      </w:r>
      <w:r>
        <w:t xml:space="preserve">DOI 10.17487/RFC9325</w:t>
      </w:r>
      <w:r>
        <w:t xml:space="preserve">, November 2022,</w:t>
      </w:r>
      <w:r>
        <w:t xml:space="preserve"> </w:t>
      </w:r>
      <w:r>
        <w:t xml:space="preserve">&lt;</w:t>
      </w:r>
      <w:hyperlink r:id="rId450">
        <w:r>
          <w:rPr>
            <w:rStyle w:val="Hyperlink"/>
          </w:rPr>
          <w:t xml:space="preserve">https://www.rfc-editor.org/rfc/rfc9325</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51">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52">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53">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54">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55">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56">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57">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58">
        <w:r>
          <w:rPr>
            <w:rStyle w:val="Hyperlink"/>
          </w:rPr>
          <w:t xml:space="preserve">https://datatracker.ietf.org/doc/draft-ietf-wimse-wpt/</w:t>
        </w:r>
      </w:hyperlink>
      <w:r>
        <w:t xml:space="preserve">&gt;</w:t>
      </w:r>
      <w:r>
        <w:t xml:space="preserve">.</w:t>
      </w:r>
    </w:p>
    <w:bookmarkEnd w:id="459"/>
    <w:bookmarkEnd w:id="460"/>
    <w:bookmarkEnd w:id="461"/>
    <w:bookmarkStart w:id="470" w:name="sec-informative-references"/>
    <w:bookmarkStart w:id="469" w:name="section-7.2"/>
    <w:bookmarkStart w:id="468"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62">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63">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64">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65">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66">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67">
        <w:r>
          <w:rPr>
            <w:rStyle w:val="Hyperlink"/>
          </w:rPr>
          <w:t xml:space="preserve">https://www.cisa.gov/resources-tools/resources/minimum-requirements-vulnerability-exploitability-exchange-vex</w:t>
        </w:r>
      </w:hyperlink>
      <w:r>
        <w:t xml:space="preserve">&gt;</w:t>
      </w:r>
      <w:r>
        <w:t xml:space="preserve">.</w:t>
      </w:r>
    </w:p>
    <w:bookmarkEnd w:id="468"/>
    <w:bookmarkEnd w:id="469"/>
    <w:bookmarkEnd w:id="470"/>
    <w:bookmarkEnd w:id="471"/>
    <w:bookmarkEnd w:id="472"/>
    <w:bookmarkEnd w:id="473"/>
    <w:bookmarkStart w:id="476" w:name="acknowledgments"/>
    <w:bookmarkStart w:id="475" w:name="appendix-A"/>
    <w:bookmarkStart w:id="474"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74"/>
    <w:bookmarkEnd w:id="475"/>
    <w:bookmarkEnd w:id="476"/>
    <w:bookmarkStart w:id="482" w:name="document-history"/>
    <w:bookmarkStart w:id="481" w:name="appendix-B"/>
    <w:bookmarkStart w:id="480" w:name="name-document-history"/>
    <w:p>
      <w:pPr>
        <w:pStyle w:val="Heading2"/>
      </w:pPr>
      <w:hyperlink w:anchor="name-document-history">
        <w:r>
          <w:rPr>
            <w:rStyle w:val="Hyperlink"/>
          </w:rPr>
          <w:t xml:space="preserve">Document History</w:t>
        </w:r>
      </w:hyperlink>
    </w:p>
    <w:p>
      <w:pPr>
        <w:pStyle w:val="FirstParagraph"/>
      </w:pPr>
      <w:r>
        <w:t xml:space="preserve">-01</w:t>
      </w:r>
      <w:hyperlink w:anchor="appendix-B-1">
        <w:r>
          <w:rPr>
            <w:rStyle w:val="Hyperlink"/>
          </w:rPr>
          <w:t xml:space="preserve">¶</w:t>
        </w:r>
      </w:hyperlink>
    </w:p>
    <w:bookmarkStart w:id="477" w:name="appendix-B-2.1"/>
    <w:p>
      <w:pPr>
        <w:numPr>
          <w:ilvl w:val="0"/>
          <w:numId w:val="1058"/>
        </w:numPr>
      </w:pPr>
      <w:r>
        <w:t xml:space="preserve">Added Supply Chain Events</w:t>
      </w:r>
      <w:hyperlink w:anchor="appendix-B-2.1.1">
        <w:r>
          <w:rPr>
            <w:rStyle w:val="Hyperlink"/>
          </w:rPr>
          <w:t xml:space="preserve">¶</w:t>
        </w:r>
      </w:hyperlink>
    </w:p>
    <w:bookmarkEnd w:id="477"/>
    <w:p>
      <w:pPr>
        <w:pStyle w:val="FirstParagraph"/>
      </w:pPr>
      <w:r>
        <w:t xml:space="preserve">-00</w:t>
      </w:r>
      <w:hyperlink w:anchor="appendix-B-3">
        <w:r>
          <w:rPr>
            <w:rStyle w:val="Hyperlink"/>
          </w:rPr>
          <w:t xml:space="preserve">¶</w:t>
        </w:r>
      </w:hyperlink>
    </w:p>
    <w:bookmarkStart w:id="478" w:name="appendix-B-4.1"/>
    <w:p>
      <w:pPr>
        <w:numPr>
          <w:ilvl w:val="0"/>
          <w:numId w:val="1059"/>
        </w:numPr>
      </w:pPr>
      <w:r>
        <w:t xml:space="preserve">Initial draft.</w:t>
      </w:r>
      <w:r>
        <w:t xml:space="preserve"> </w:t>
      </w:r>
      <w:r>
        <w:t xml:space="preserve">-00</w:t>
      </w:r>
      <w:hyperlink w:anchor="appendix-B-4.1.1">
        <w:r>
          <w:rPr>
            <w:rStyle w:val="Hyperlink"/>
          </w:rPr>
          <w:t xml:space="preserve">¶</w:t>
        </w:r>
      </w:hyperlink>
    </w:p>
    <w:bookmarkEnd w:id="478"/>
    <w:bookmarkStart w:id="479" w:name="appendix-B-4.2"/>
    <w:p>
      <w:pPr>
        <w:numPr>
          <w:ilvl w:val="0"/>
          <w:numId w:val="1059"/>
        </w:numPr>
      </w:pPr>
      <w:r>
        <w:t xml:space="preserve">Initial draft.</w:t>
      </w:r>
      <w:hyperlink w:anchor="appendix-B-4.2.1">
        <w:r>
          <w:rPr>
            <w:rStyle w:val="Hyperlink"/>
          </w:rPr>
          <w:t xml:space="preserve">¶</w:t>
        </w:r>
      </w:hyperlink>
    </w:p>
    <w:bookmarkEnd w:id="479"/>
    <w:bookmarkEnd w:id="480"/>
    <w:bookmarkEnd w:id="481"/>
    <w:bookmarkEnd w:id="482"/>
    <w:bookmarkStart w:id="488" w:name="authors-addresses"/>
    <w:bookmarkStart w:id="487" w:name="appendix-C"/>
    <w:bookmarkStart w:id="486"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83">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84">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85">
        <w:r>
          <w:rPr>
            <w:rStyle w:val="Hyperlink"/>
          </w:rPr>
          <w:t xml:space="preserve">sean.odell@cvshealth.com</w:t>
        </w:r>
      </w:hyperlink>
    </w:p>
    <w:bookmarkEnd w:id="486"/>
    <w:bookmarkEnd w:id="487"/>
    <w:bookmarkEnd w:id="488"/>
    <w:bookmarkEnd w:id="4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 Sean O'Dell</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workload identity lifecycle as described in the WIMSE architecture . </dc:description>
  <dc:language>en</dc:language>
  <cp:keywords/>
  <dcterms:created xsi:type="dcterms:W3CDTF">2026-07-16T13:58:14Z</dcterms:created>
  <dcterms:modified xsi:type="dcterms:W3CDTF">2026-07-16T13:58:14Z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