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20" w:after="320" w:line="240" w:lineRule="auto"/>
        <w:jc w:val="center"/>
      </w:pPr>
      <w:r>
        <w:rPr>
          <w:rFonts w:ascii="Calibri" w:hAnsi="Calibri"/>
          <w:b/>
          <w:i w:val="0"/>
          <w:color w:val="A26B16"/>
          <w:sz w:val="20"/>
        </w:rPr>
        <w:t>PLANNING REFERENCE</w:t>
      </w:r>
    </w:p>
    <w:p>
      <w:pPr>
        <w:spacing w:before="0" w:after="240" w:line="245" w:lineRule="auto"/>
        <w:jc w:val="center"/>
      </w:pPr>
      <w:r>
        <w:rPr>
          <w:rFonts w:ascii="Calibri" w:hAnsi="Calibri"/>
          <w:b/>
          <w:i w:val="0"/>
          <w:color w:val="17324D"/>
          <w:sz w:val="56"/>
        </w:rPr>
        <w:t>AI Project Effort,</w:t>
        <w:br/>
        <w:t>Token &amp; Cost Guide</w:t>
      </w:r>
    </w:p>
    <w:p>
      <w:pPr>
        <w:spacing w:before="0" w:after="520" w:line="288" w:lineRule="auto"/>
        <w:jc w:val="center"/>
      </w:pPr>
      <w:r>
        <w:rPr>
          <w:rFonts w:ascii="Calibri" w:hAnsi="Calibri"/>
          <w:b w:val="0"/>
          <w:i w:val="0"/>
          <w:color w:val="557A95"/>
          <w:sz w:val="28"/>
        </w:rPr>
        <w:t>A practical matrix for everyday tasks, connected tools,</w:t>
        <w:br/>
        <w:t>software builds, parallel agents, and deep knowledge work</w:t>
      </w:r>
    </w:p>
    <w:p>
      <w:pPr>
        <w:spacing w:before="0" w:after="760" w:line="240" w:lineRule="auto"/>
        <w:jc w:val="center"/>
      </w:pPr>
      <w:r>
        <w:rPr>
          <w:rFonts w:ascii="Calibri" w:hAnsi="Calibri"/>
          <w:b w:val="0"/>
          <w:i/>
          <w:color w:val="667085"/>
          <w:sz w:val="20"/>
        </w:rPr>
        <w:t>API-equivalent estimates · USD · pricing checked August 12, 2026</w:t>
      </w:r>
    </w:p>
    <w:p>
      <w:pPr>
        <w:spacing w:before="80" w:after="200" w:line="288" w:lineRule="auto"/>
        <w:ind w:left="230" w:right="115"/>
        <w:shd w:fill="F4F7FA"/>
        <w:pBdr>
          <w:left w:val="single" w:sz="20" w:space="8" w:color="2E74B5"/>
        </w:pBdr>
      </w:pPr>
      <w:r>
        <w:rPr>
          <w:rFonts w:ascii="Calibri" w:hAnsi="Calibri"/>
          <w:b/>
          <w:color w:val="17324D"/>
          <w:sz w:val="21"/>
        </w:rPr>
        <w:t xml:space="preserve">THE SHORT VERSION  </w:t>
      </w:r>
      <w:r>
        <w:rPr>
          <w:rFonts w:ascii="Calibri" w:hAnsi="Calibri"/>
          <w:color w:val="202B33"/>
          <w:sz w:val="21"/>
        </w:rPr>
        <w:t>A message or single tool action is usually fractions of a cent to a few cents. A strong synthesis, document, or code change is often cents to low dollars. A full day of frontier-model coding or deep knowledge work is commonly tens of dollars in raw model tokens; a multi-agent build can reach the low hundreds. Human time, tool fees, hosting, and iteration usually matter more than tokens.</w:t>
      </w:r>
    </w:p>
    <w:p>
      <w:pPr>
        <w:pStyle w:val="Heading2"/>
        <w:keepNext/>
      </w:pPr>
      <w:r>
        <w:t>What this guide is—and is not</w:t>
      </w:r>
    </w:p>
    <w:p>
      <w:pPr>
        <w:spacing w:before="0" w:after="120" w:line="300" w:lineRule="auto"/>
      </w:pPr>
      <w:r>
        <w:rPr>
          <w:rFonts w:ascii="Calibri" w:hAnsi="Calibri"/>
          <w:b/>
          <w:color w:val="17324D"/>
          <w:sz w:val="22"/>
        </w:rPr>
        <w:t xml:space="preserve">It is </w:t>
      </w:r>
      <w:r>
        <w:rPr>
          <w:rFonts w:ascii="Calibri" w:hAnsi="Calibri"/>
          <w:color w:val="202B33"/>
          <w:sz w:val="22"/>
        </w:rPr>
        <w:t>a budgeting framework for cumulative API token use across all model calls in a completed task.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7324D"/>
          <w:sz w:val="22"/>
        </w:rPr>
        <w:t xml:space="preserve">It is not </w:t>
      </w:r>
      <w:r>
        <w:rPr>
          <w:rFonts w:ascii="Calibri" w:hAnsi="Calibri"/>
          <w:color w:val="202B33"/>
          <w:sz w:val="22"/>
        </w:rPr>
        <w:t>a quote, a subscription-plan comparison, or a promise that every project will fit the band shown.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7324D"/>
          <w:sz w:val="22"/>
        </w:rPr>
        <w:t xml:space="preserve">Best use </w:t>
      </w:r>
      <w:r>
        <w:rPr>
          <w:rFonts w:ascii="Calibri" w:hAnsi="Calibri"/>
          <w:color w:val="202B33"/>
          <w:sz w:val="22"/>
        </w:rPr>
        <w:t>pick the nearest use case, choose a model tier, then adjust for corpus size, iteration, tools, and agent count.</w:t>
      </w:r>
    </w:p>
    <w:p>
      <w:r>
        <w:br w:type="page"/>
      </w:r>
    </w:p>
    <w:p>
      <w:pPr>
        <w:spacing w:before="0" w:after="80" w:line="240" w:lineRule="auto"/>
        <w:keepNext/>
      </w:pPr>
      <w:r>
        <w:rPr>
          <w:rFonts w:ascii="Calibri" w:hAnsi="Calibri"/>
          <w:b/>
          <w:i w:val="0"/>
          <w:color w:val="A26B16"/>
          <w:sz w:val="19"/>
        </w:rPr>
        <w:t>FOUNDATIONS</w:t>
      </w:r>
    </w:p>
    <w:p>
      <w:pPr>
        <w:pStyle w:val="Heading1"/>
        <w:keepNext/>
      </w:pPr>
      <w:r>
        <w:t>How to read the numbers</w:t>
      </w:r>
    </w:p>
    <w:p>
      <w:pPr>
        <w:spacing w:before="80" w:after="200" w:line="288" w:lineRule="auto"/>
        <w:ind w:left="230" w:right="115"/>
        <w:shd w:fill="F4F7FA"/>
        <w:pBdr>
          <w:left w:val="single" w:sz="20" w:space="8" w:color="2E74B5"/>
        </w:pBdr>
      </w:pPr>
      <w:r>
        <w:rPr>
          <w:rFonts w:ascii="Calibri" w:hAnsi="Calibri"/>
          <w:b/>
          <w:color w:val="17324D"/>
          <w:sz w:val="21"/>
        </w:rPr>
        <w:t xml:space="preserve">ONE FORMULA  </w:t>
      </w:r>
      <w:r>
        <w:rPr>
          <w:rFonts w:ascii="Calibri" w:hAnsi="Calibri"/>
          <w:color w:val="202B33"/>
          <w:sz w:val="21"/>
        </w:rPr>
        <w:t>Estimated token cost = (input tokens ÷ 1,000,000 × input price) + (output tokens ÷ 1,000,000 × output price). For agents, add every agent and coordinator call.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7324D"/>
          <w:sz w:val="22"/>
        </w:rPr>
        <w:t xml:space="preserve">Cumulative input </w:t>
      </w:r>
      <w:r>
        <w:rPr>
          <w:rFonts w:ascii="Calibri" w:hAnsi="Calibri"/>
          <w:color w:val="202B33"/>
          <w:sz w:val="22"/>
        </w:rPr>
        <w:t>all prompts, system instructions, tool schemas, retrieved text, images represented as tokens, prior conversation history, and tool results sent back to a model.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7324D"/>
          <w:sz w:val="22"/>
        </w:rPr>
        <w:t xml:space="preserve">Cumulative output </w:t>
      </w:r>
      <w:r>
        <w:rPr>
          <w:rFonts w:ascii="Calibri" w:hAnsi="Calibri"/>
          <w:color w:val="202B33"/>
          <w:sz w:val="22"/>
        </w:rPr>
        <w:t>visible responses plus billable reasoning/thinking and tool-call arguments. It is not just the final deliverable length.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7324D"/>
          <w:sz w:val="22"/>
        </w:rPr>
        <w:t xml:space="preserve">Repeated context </w:t>
      </w:r>
      <w:r>
        <w:rPr>
          <w:rFonts w:ascii="Calibri" w:hAnsi="Calibri"/>
          <w:color w:val="202B33"/>
          <w:sz w:val="22"/>
        </w:rPr>
        <w:t>counts again when resent. A 100K-token project corpus read ten times can create roughly 1M input tokens even though the unique corpus is only 100K.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7324D"/>
          <w:sz w:val="22"/>
        </w:rPr>
        <w:t xml:space="preserve">K / M </w:t>
      </w:r>
      <w:r>
        <w:rPr>
          <w:rFonts w:ascii="Calibri" w:hAnsi="Calibri"/>
          <w:color w:val="202B33"/>
          <w:sz w:val="22"/>
        </w:rPr>
        <w:t>K means 1,000 tokens; M means 1,000,000 tokens.</w:t>
      </w:r>
    </w:p>
    <w:p>
      <w:pPr>
        <w:pStyle w:val="Heading1"/>
        <w:keepNext/>
      </w:pPr>
      <w:r>
        <w:t>Current standard API prices used in this guide</w:t>
      </w:r>
    </w:p>
    <w:p>
      <w:pPr>
        <w:spacing w:before="80" w:after="100" w:line="264" w:lineRule="auto"/>
      </w:pPr>
      <w:r>
        <w:rPr>
          <w:rFonts w:ascii="Calibri" w:hAnsi="Calibri"/>
          <w:b w:val="0"/>
          <w:i/>
          <w:color w:val="667085"/>
          <w:sz w:val="17"/>
        </w:rPr>
        <w:t>USD per 1M tokens. Standard first-party API rates; cached-input rates shown for reference. Batch, fast/priority, data residency, and tool-specific charges are excluded.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1050"/>
        <w:gridCol w:w="1750"/>
        <w:gridCol w:w="850"/>
        <w:gridCol w:w="850"/>
        <w:gridCol w:w="850"/>
        <w:gridCol w:w="401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Provider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Model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Cached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Use it for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202B33"/>
                <w:sz w:val="17"/>
              </w:rPr>
              <w:t>OpenAI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7"/>
              </w:rPr>
              <w:t>GPT-5.6 Luna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B33"/>
                <w:sz w:val="17"/>
              </w:rPr>
              <w:t>$0.20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B33"/>
                <w:sz w:val="17"/>
              </w:rPr>
              <w:t>$0.02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B33"/>
                <w:sz w:val="17"/>
              </w:rPr>
              <w:t>$1.20</w:t>
            </w:r>
          </w:p>
        </w:tc>
        <w:tc>
          <w:tcPr>
            <w:tcW w:type="dxa" w:w="401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7"/>
              </w:rPr>
              <w:t>Bounded, high-volume, cost-sensitive work</w:t>
            </w:r>
          </w:p>
        </w:tc>
      </w:tr>
      <w:tr>
        <w:trPr>
          <w:cantSplit/>
        </w:trPr>
        <w:tc>
          <w:tcPr>
            <w:tcW w:type="dxa" w:w="1050"/>
            <w:shd w:fill="F4F7FA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202B33"/>
                <w:sz w:val="17"/>
              </w:rPr>
              <w:t>OpenAI</w:t>
            </w:r>
          </w:p>
        </w:tc>
        <w:tc>
          <w:tcPr>
            <w:tcW w:type="dxa" w:w="1750"/>
            <w:shd w:fill="F4F7FA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7"/>
              </w:rPr>
              <w:t>GPT-5.6 Terra</w:t>
            </w:r>
          </w:p>
        </w:tc>
        <w:tc>
          <w:tcPr>
            <w:tcW w:type="dxa" w:w="850"/>
            <w:shd w:fill="F4F7FA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B33"/>
                <w:sz w:val="17"/>
              </w:rPr>
              <w:t>$2.00</w:t>
            </w:r>
          </w:p>
        </w:tc>
        <w:tc>
          <w:tcPr>
            <w:tcW w:type="dxa" w:w="850"/>
            <w:shd w:fill="F4F7FA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B33"/>
                <w:sz w:val="17"/>
              </w:rPr>
              <w:t>$0.20</w:t>
            </w:r>
          </w:p>
        </w:tc>
        <w:tc>
          <w:tcPr>
            <w:tcW w:type="dxa" w:w="850"/>
            <w:shd w:fill="F4F7FA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B33"/>
                <w:sz w:val="17"/>
              </w:rPr>
              <w:t>$12.00</w:t>
            </w:r>
          </w:p>
        </w:tc>
        <w:tc>
          <w:tcPr>
            <w:tcW w:type="dxa" w:w="4010"/>
            <w:shd w:fill="F4F7FA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7"/>
              </w:rPr>
              <w:t>Balanced professional work and routine coding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202B33"/>
                <w:sz w:val="17"/>
              </w:rPr>
              <w:t>OpenAI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7"/>
              </w:rPr>
              <w:t>GPT-5.6 Sol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B33"/>
                <w:sz w:val="17"/>
              </w:rPr>
              <w:t>$5.00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B33"/>
                <w:sz w:val="17"/>
              </w:rPr>
              <w:t>$0.50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B33"/>
                <w:sz w:val="17"/>
              </w:rPr>
              <w:t>$30.00</w:t>
            </w:r>
          </w:p>
        </w:tc>
        <w:tc>
          <w:tcPr>
            <w:tcW w:type="dxa" w:w="401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7"/>
              </w:rPr>
              <w:t>Complex reasoning, coding, and long-horizon work</w:t>
            </w:r>
          </w:p>
        </w:tc>
      </w:tr>
      <w:tr>
        <w:trPr>
          <w:cantSplit/>
        </w:trPr>
        <w:tc>
          <w:tcPr>
            <w:tcW w:type="dxa" w:w="1050"/>
            <w:shd w:fill="F4F7FA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202B33"/>
                <w:sz w:val="17"/>
              </w:rPr>
              <w:t>Anthropic</w:t>
            </w:r>
          </w:p>
        </w:tc>
        <w:tc>
          <w:tcPr>
            <w:tcW w:type="dxa" w:w="1750"/>
            <w:shd w:fill="F4F7FA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7"/>
              </w:rPr>
              <w:t>Claude Haiku 4.5</w:t>
            </w:r>
          </w:p>
        </w:tc>
        <w:tc>
          <w:tcPr>
            <w:tcW w:type="dxa" w:w="850"/>
            <w:shd w:fill="F4F7FA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B33"/>
                <w:sz w:val="17"/>
              </w:rPr>
              <w:t>$1.00</w:t>
            </w:r>
          </w:p>
        </w:tc>
        <w:tc>
          <w:tcPr>
            <w:tcW w:type="dxa" w:w="850"/>
            <w:shd w:fill="F4F7FA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B33"/>
                <w:sz w:val="17"/>
              </w:rPr>
              <w:t>$0.10</w:t>
            </w:r>
          </w:p>
        </w:tc>
        <w:tc>
          <w:tcPr>
            <w:tcW w:type="dxa" w:w="850"/>
            <w:shd w:fill="F4F7FA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B33"/>
                <w:sz w:val="17"/>
              </w:rPr>
              <w:t>$5.00</w:t>
            </w:r>
          </w:p>
        </w:tc>
        <w:tc>
          <w:tcPr>
            <w:tcW w:type="dxa" w:w="4010"/>
            <w:shd w:fill="F4F7FA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7"/>
              </w:rPr>
              <w:t>Fast, economical, bounded workloads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202B33"/>
                <w:sz w:val="17"/>
              </w:rPr>
              <w:t>Anthropic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7"/>
              </w:rPr>
              <w:t>Claude Sonnet 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B33"/>
                <w:sz w:val="17"/>
              </w:rPr>
              <w:t>$2.00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B33"/>
                <w:sz w:val="17"/>
              </w:rPr>
              <w:t>$0.20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B33"/>
                <w:sz w:val="17"/>
              </w:rPr>
              <w:t>$10.00</w:t>
            </w:r>
          </w:p>
        </w:tc>
        <w:tc>
          <w:tcPr>
            <w:tcW w:type="dxa" w:w="401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7"/>
              </w:rPr>
              <w:t>Coding, agents, analysis, and production synthesis</w:t>
            </w:r>
          </w:p>
        </w:tc>
      </w:tr>
      <w:tr>
        <w:trPr>
          <w:cantSplit/>
        </w:trPr>
        <w:tc>
          <w:tcPr>
            <w:tcW w:type="dxa" w:w="1050"/>
            <w:shd w:fill="F4F7FA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202B33"/>
                <w:sz w:val="17"/>
              </w:rPr>
              <w:t>Anthropic</w:t>
            </w:r>
          </w:p>
        </w:tc>
        <w:tc>
          <w:tcPr>
            <w:tcW w:type="dxa" w:w="1750"/>
            <w:shd w:fill="F4F7FA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7"/>
              </w:rPr>
              <w:t>Claude Opus 5</w:t>
            </w:r>
          </w:p>
        </w:tc>
        <w:tc>
          <w:tcPr>
            <w:tcW w:type="dxa" w:w="850"/>
            <w:shd w:fill="F4F7FA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B33"/>
                <w:sz w:val="17"/>
              </w:rPr>
              <w:t>$5.00</w:t>
            </w:r>
          </w:p>
        </w:tc>
        <w:tc>
          <w:tcPr>
            <w:tcW w:type="dxa" w:w="850"/>
            <w:shd w:fill="F4F7FA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B33"/>
                <w:sz w:val="17"/>
              </w:rPr>
              <w:t>$0.50</w:t>
            </w:r>
          </w:p>
        </w:tc>
        <w:tc>
          <w:tcPr>
            <w:tcW w:type="dxa" w:w="850"/>
            <w:shd w:fill="F4F7FA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B33"/>
                <w:sz w:val="17"/>
              </w:rPr>
              <w:t>$25.00</w:t>
            </w:r>
          </w:p>
        </w:tc>
        <w:tc>
          <w:tcPr>
            <w:tcW w:type="dxa" w:w="4010"/>
            <w:shd w:fill="F4F7FA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7"/>
              </w:rPr>
              <w:t>Complex agentic coding and enterprise work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202B33"/>
                <w:sz w:val="17"/>
              </w:rPr>
              <w:t>Anthropic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7"/>
              </w:rPr>
              <w:t>Claude Fable 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B33"/>
                <w:sz w:val="17"/>
              </w:rPr>
              <w:t>$10.00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B33"/>
                <w:sz w:val="17"/>
              </w:rPr>
              <w:t>$1.00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B33"/>
                <w:sz w:val="17"/>
              </w:rPr>
              <w:t>$50.00</w:t>
            </w:r>
          </w:p>
        </w:tc>
        <w:tc>
          <w:tcPr>
            <w:tcW w:type="dxa" w:w="401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7"/>
              </w:rPr>
              <w:t>Highest-capability long-running agents; escalate selectively</w:t>
            </w:r>
          </w:p>
        </w:tc>
      </w:tr>
    </w:tbl>
    <w:p>
      <w:pPr>
        <w:spacing w:after="0"/>
      </w:pPr>
    </w:p>
    <w:p>
      <w:pPr>
        <w:spacing w:before="80" w:after="200" w:line="288" w:lineRule="auto"/>
        <w:ind w:left="230" w:right="115"/>
        <w:shd w:fill="F4F7FA"/>
        <w:pBdr>
          <w:left w:val="single" w:sz="20" w:space="8" w:color="2E74B5"/>
        </w:pBdr>
      </w:pPr>
      <w:r>
        <w:rPr>
          <w:rFonts w:ascii="Calibri" w:hAnsi="Calibri"/>
          <w:b/>
          <w:color w:val="17324D"/>
          <w:sz w:val="21"/>
        </w:rPr>
        <w:t xml:space="preserve">MODEL ROUTING PRINCIPLE  </w:t>
      </w:r>
      <w:r>
        <w:rPr>
          <w:rFonts w:ascii="Calibri" w:hAnsi="Calibri"/>
          <w:color w:val="202B33"/>
          <w:sz w:val="21"/>
        </w:rPr>
        <w:t>Start with the lowest tier that reliably passes your quality bar. Use Luna/Haiku for bounded steps, Terra/Sonnet for most production work, and Sol/Opus for ambiguity, difficult debugging, cross-domain synthesis, or long-horizon autonomy. Reserve Fable for cases where the highest capability is worth roughly 2× Opus token cost.</w:t>
      </w:r>
    </w:p>
    <w:p>
      <w:r>
        <w:br w:type="page"/>
      </w:r>
    </w:p>
    <w:p>
      <w:pPr>
        <w:spacing w:before="0" w:after="80" w:line="240" w:lineRule="auto"/>
        <w:keepNext/>
      </w:pPr>
      <w:r>
        <w:rPr>
          <w:rFonts w:ascii="Calibri" w:hAnsi="Calibri"/>
          <w:b/>
          <w:i w:val="0"/>
          <w:color w:val="A26B16"/>
          <w:sz w:val="19"/>
        </w:rPr>
        <w:t>USE-CASE MATRIX</w:t>
      </w:r>
    </w:p>
    <w:p>
      <w:pPr>
        <w:pStyle w:val="Heading1"/>
        <w:keepNext/>
      </w:pPr>
      <w:r>
        <w:t>Everyday and connected work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02B33"/>
          <w:sz w:val="22"/>
        </w:rPr>
        <w:t>These are completed-task estimates, not single-response limits. Connector and server-side tool fees are separate.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1700"/>
        <w:gridCol w:w="3300"/>
        <w:gridCol w:w="1350"/>
        <w:gridCol w:w="1505"/>
        <w:gridCol w:w="1505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Use case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What the work includes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Cumulative tokens</w:t>
            </w:r>
          </w:p>
        </w:tc>
        <w:tc>
          <w:tcPr>
            <w:tcW w:type="dxa" w:w="1505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OpenAI</w:t>
            </w:r>
          </w:p>
        </w:tc>
        <w:tc>
          <w:tcPr>
            <w:tcW w:type="dxa" w:w="1505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Anthropic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202B33"/>
                <w:sz w:val="17"/>
              </w:rPr>
              <w:t>Ask a question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6"/>
              </w:rPr>
              <w:t>Answer a bounded question from a short prompt; no external search.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6"/>
              </w:rPr>
              <w:t>1K–4K in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6"/>
              </w:rPr>
              <w:t>0.2K–1K out</w:t>
            </w:r>
          </w:p>
        </w:tc>
        <w:tc>
          <w:tcPr>
            <w:tcW w:type="dxa" w:w="1505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6"/>
              </w:rPr>
              <w:t>Luna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6"/>
              </w:rPr>
              <w:t>&lt;$0.001–$0.002</w:t>
            </w:r>
          </w:p>
        </w:tc>
        <w:tc>
          <w:tcPr>
            <w:tcW w:type="dxa" w:w="1505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6"/>
              </w:rPr>
              <w:t>Haiku 4.5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6"/>
              </w:rPr>
              <w:t>$0.002–$0.009</w:t>
            </w:r>
          </w:p>
        </w:tc>
      </w:tr>
      <w:tr>
        <w:trPr>
          <w:cantSplit/>
        </w:trPr>
        <w:tc>
          <w:tcPr>
            <w:tcW w:type="dxa" w:w="1700"/>
            <w:shd w:fill="F4F7FA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202B33"/>
                <w:sz w:val="17"/>
              </w:rPr>
              <w:t>Draft or rewrite</w:t>
            </w:r>
          </w:p>
        </w:tc>
        <w:tc>
          <w:tcPr>
            <w:tcW w:type="dxa" w:w="3300"/>
            <w:shd w:fill="F4F7FA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6"/>
              </w:rPr>
              <w:t>Write an email, short brief, summary, or polished response with light context.</w:t>
            </w:r>
          </w:p>
        </w:tc>
        <w:tc>
          <w:tcPr>
            <w:tcW w:type="dxa" w:w="1350"/>
            <w:shd w:fill="F4F7FA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6"/>
              </w:rPr>
              <w:t>2K–10K in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6"/>
              </w:rPr>
              <w:t>0.5K–2K out</w:t>
            </w:r>
          </w:p>
        </w:tc>
        <w:tc>
          <w:tcPr>
            <w:tcW w:type="dxa" w:w="1505"/>
            <w:shd w:fill="F4F7FA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6"/>
              </w:rPr>
              <w:t>Luna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6"/>
              </w:rPr>
              <w:t>$0.001–$0.004</w:t>
            </w:r>
          </w:p>
        </w:tc>
        <w:tc>
          <w:tcPr>
            <w:tcW w:type="dxa" w:w="1505"/>
            <w:shd w:fill="F4F7FA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6"/>
              </w:rPr>
              <w:t>Haiku 4.5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6"/>
              </w:rPr>
              <w:t>$0.005–$0.02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202B33"/>
                <w:sz w:val="17"/>
              </w:rPr>
              <w:t>Do one Slack task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6"/>
              </w:rPr>
              <w:t>Read a short thread, draft/send a message, or update one item through a connector.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6"/>
              </w:rPr>
              <w:t>8K–40K in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6"/>
              </w:rPr>
              <w:t>1K–5K out</w:t>
            </w:r>
          </w:p>
        </w:tc>
        <w:tc>
          <w:tcPr>
            <w:tcW w:type="dxa" w:w="1505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6"/>
              </w:rPr>
              <w:t>Luna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6"/>
              </w:rPr>
              <w:t>$0.003–$0.01</w:t>
            </w:r>
          </w:p>
        </w:tc>
        <w:tc>
          <w:tcPr>
            <w:tcW w:type="dxa" w:w="1505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6"/>
              </w:rPr>
              <w:t>Haiku 4.5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6"/>
              </w:rPr>
              <w:t>$0.01–$0.07</w:t>
            </w:r>
          </w:p>
        </w:tc>
      </w:tr>
      <w:tr>
        <w:trPr>
          <w:cantSplit/>
        </w:trPr>
        <w:tc>
          <w:tcPr>
            <w:tcW w:type="dxa" w:w="1700"/>
            <w:shd w:fill="F4F7FA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202B33"/>
                <w:sz w:val="17"/>
              </w:rPr>
              <w:t>Search Slack + synthesize</w:t>
            </w:r>
          </w:p>
        </w:tc>
        <w:tc>
          <w:tcPr>
            <w:tcW w:type="dxa" w:w="3300"/>
            <w:shd w:fill="F4F7FA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6"/>
              </w:rPr>
              <w:t>Search a project history, read multiple threads, reconcile decisions, and produce a brief.</w:t>
            </w:r>
          </w:p>
        </w:tc>
        <w:tc>
          <w:tcPr>
            <w:tcW w:type="dxa" w:w="1350"/>
            <w:shd w:fill="F4F7FA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6"/>
              </w:rPr>
              <w:t>30K–200K in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6"/>
              </w:rPr>
              <w:t>3K–15K out</w:t>
            </w:r>
          </w:p>
        </w:tc>
        <w:tc>
          <w:tcPr>
            <w:tcW w:type="dxa" w:w="1505"/>
            <w:shd w:fill="F4F7FA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6"/>
              </w:rPr>
              <w:t>Terra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6"/>
              </w:rPr>
              <w:t>$0.10–$0.58</w:t>
            </w:r>
          </w:p>
        </w:tc>
        <w:tc>
          <w:tcPr>
            <w:tcW w:type="dxa" w:w="1505"/>
            <w:shd w:fill="F4F7FA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6"/>
              </w:rPr>
              <w:t>Sonnet 5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6"/>
              </w:rPr>
              <w:t>$0.09–$0.55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202B33"/>
                <w:sz w:val="17"/>
              </w:rPr>
              <w:t>Search a Figma file + synthesize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6"/>
              </w:rPr>
              <w:t>Inspect frames/components, read annotations and imagery, compare patterns, and summarize findings.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6"/>
              </w:rPr>
              <w:t>40K–250K in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6"/>
              </w:rPr>
              <w:t>5K–25K out</w:t>
            </w:r>
          </w:p>
        </w:tc>
        <w:tc>
          <w:tcPr>
            <w:tcW w:type="dxa" w:w="1505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6"/>
              </w:rPr>
              <w:t>Terra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6"/>
              </w:rPr>
              <w:t>$0.14–$0.80</w:t>
            </w:r>
          </w:p>
        </w:tc>
        <w:tc>
          <w:tcPr>
            <w:tcW w:type="dxa" w:w="1505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6"/>
              </w:rPr>
              <w:t>Sonnet 5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6"/>
              </w:rPr>
              <w:t>$0.13–$0.75</w:t>
            </w:r>
          </w:p>
        </w:tc>
      </w:tr>
      <w:tr>
        <w:trPr>
          <w:cantSplit/>
        </w:trPr>
        <w:tc>
          <w:tcPr>
            <w:tcW w:type="dxa" w:w="1700"/>
            <w:shd w:fill="F4F7FA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202B33"/>
                <w:sz w:val="17"/>
              </w:rPr>
              <w:t>Summarize a document or meeting</w:t>
            </w:r>
          </w:p>
        </w:tc>
        <w:tc>
          <w:tcPr>
            <w:tcW w:type="dxa" w:w="3300"/>
            <w:shd w:fill="F4F7FA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6"/>
              </w:rPr>
              <w:t>Read one long document or transcript and produce themes, decisions, and next steps.</w:t>
            </w:r>
          </w:p>
        </w:tc>
        <w:tc>
          <w:tcPr>
            <w:tcW w:type="dxa" w:w="1350"/>
            <w:shd w:fill="F4F7FA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6"/>
              </w:rPr>
              <w:t>20K–120K in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6"/>
              </w:rPr>
              <w:t>2K–10K out</w:t>
            </w:r>
          </w:p>
        </w:tc>
        <w:tc>
          <w:tcPr>
            <w:tcW w:type="dxa" w:w="1505"/>
            <w:shd w:fill="F4F7FA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6"/>
              </w:rPr>
              <w:t>Terra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6"/>
              </w:rPr>
              <w:t>$0.06–$0.36</w:t>
            </w:r>
          </w:p>
        </w:tc>
        <w:tc>
          <w:tcPr>
            <w:tcW w:type="dxa" w:w="1505"/>
            <w:shd w:fill="F4F7FA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6"/>
              </w:rPr>
              <w:t>Sonnet 5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6"/>
              </w:rPr>
              <w:t>$0.06–$0.34</w:t>
            </w:r>
          </w:p>
        </w:tc>
      </w:tr>
    </w:tbl>
    <w:p>
      <w:pPr>
        <w:spacing w:after="0"/>
      </w:pPr>
    </w:p>
    <w:p>
      <w:pPr>
        <w:spacing w:before="80" w:after="100" w:line="264" w:lineRule="auto"/>
      </w:pPr>
      <w:r>
        <w:rPr>
          <w:rFonts w:ascii="Calibri" w:hAnsi="Calibri"/>
          <w:b w:val="0"/>
          <w:i/>
          <w:color w:val="667085"/>
          <w:sz w:val="17"/>
        </w:rPr>
        <w:t>Figma note: screenshots, image representations, node metadata, and repeated inspection can dominate input. Slack note: a search across channels can become a research task even if the final output is only one page.</w:t>
      </w:r>
    </w:p>
    <w:p>
      <w:pPr>
        <w:pStyle w:val="Heading2"/>
        <w:keepNext/>
      </w:pPr>
      <w:r>
        <w:t>How to place an unfamiliar task</w:t>
      </w:r>
    </w:p>
    <w:p>
      <w:pPr>
        <w:spacing w:before="0" w:after="120" w:line="300" w:lineRule="auto"/>
      </w:pPr>
      <w:r>
        <w:rPr>
          <w:rFonts w:ascii="Calibri" w:hAnsi="Calibri"/>
          <w:b/>
          <w:color w:val="17324D"/>
          <w:sz w:val="22"/>
        </w:rPr>
        <w:t xml:space="preserve">Bounded </w:t>
      </w:r>
      <w:r>
        <w:rPr>
          <w:rFonts w:ascii="Calibri" w:hAnsi="Calibri"/>
          <w:color w:val="202B33"/>
          <w:sz w:val="22"/>
        </w:rPr>
        <w:t>one clear instruction, little context, one output → start in the first three rows.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7324D"/>
          <w:sz w:val="22"/>
        </w:rPr>
        <w:t xml:space="preserve">Synthesis </w:t>
      </w:r>
      <w:r>
        <w:rPr>
          <w:rFonts w:ascii="Calibri" w:hAnsi="Calibri"/>
          <w:color w:val="202B33"/>
          <w:sz w:val="22"/>
        </w:rPr>
        <w:t>many artifacts must be compared or reconciled → use the Figma/Slack synthesis or research rows.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7324D"/>
          <w:sz w:val="22"/>
        </w:rPr>
        <w:t xml:space="preserve">Agentic </w:t>
      </w:r>
      <w:r>
        <w:rPr>
          <w:rFonts w:ascii="Calibri" w:hAnsi="Calibri"/>
          <w:color w:val="202B33"/>
          <w:sz w:val="22"/>
        </w:rPr>
        <w:t>the model chooses tools, loops after failures, edits files, and verifies work → use the coding or deep-work rows.</w:t>
      </w:r>
    </w:p>
    <w:p>
      <w:r>
        <w:br w:type="page"/>
      </w:r>
    </w:p>
    <w:p>
      <w:pPr>
        <w:spacing w:before="0" w:after="80" w:line="240" w:lineRule="auto"/>
        <w:keepNext/>
      </w:pPr>
      <w:r>
        <w:rPr>
          <w:rFonts w:ascii="Calibri" w:hAnsi="Calibri"/>
          <w:b/>
          <w:i w:val="0"/>
          <w:color w:val="A26B16"/>
          <w:sz w:val="19"/>
        </w:rPr>
        <w:t>USE-CASE MATRIX</w:t>
      </w:r>
    </w:p>
    <w:p>
      <w:pPr>
        <w:pStyle w:val="Heading1"/>
        <w:keepNext/>
      </w:pPr>
      <w:r>
        <w:t>Knowledge production and software work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1700"/>
        <w:gridCol w:w="3300"/>
        <w:gridCol w:w="1350"/>
        <w:gridCol w:w="1505"/>
        <w:gridCol w:w="1505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Use case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What the work includes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Cumulative tokens</w:t>
            </w:r>
          </w:p>
        </w:tc>
        <w:tc>
          <w:tcPr>
            <w:tcW w:type="dxa" w:w="1505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OpenAI</w:t>
            </w:r>
          </w:p>
        </w:tc>
        <w:tc>
          <w:tcPr>
            <w:tcW w:type="dxa" w:w="1505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Anthropic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202B33"/>
                <w:sz w:val="17"/>
              </w:rPr>
              <w:t>Research brief with sources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6"/>
              </w:rPr>
              <w:t>Search, retrieve, compare, cite, and synthesize a focused question across several sources.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6"/>
              </w:rPr>
              <w:t>50K–300K in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6"/>
              </w:rPr>
              <w:t>5K–25K out</w:t>
            </w:r>
          </w:p>
        </w:tc>
        <w:tc>
          <w:tcPr>
            <w:tcW w:type="dxa" w:w="1505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6"/>
              </w:rPr>
              <w:t>Terra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6"/>
              </w:rPr>
              <w:t>$0.16–$0.90</w:t>
            </w:r>
          </w:p>
        </w:tc>
        <w:tc>
          <w:tcPr>
            <w:tcW w:type="dxa" w:w="1505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6"/>
              </w:rPr>
              <w:t>Sonnet 5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6"/>
              </w:rPr>
              <w:t>$0.15–$0.85</w:t>
            </w:r>
          </w:p>
        </w:tc>
      </w:tr>
      <w:tr>
        <w:trPr>
          <w:cantSplit/>
        </w:trPr>
        <w:tc>
          <w:tcPr>
            <w:tcW w:type="dxa" w:w="1700"/>
            <w:shd w:fill="F4F7FA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202B33"/>
                <w:sz w:val="17"/>
              </w:rPr>
              <w:t>Spreadsheet / data analysis</w:t>
            </w:r>
          </w:p>
        </w:tc>
        <w:tc>
          <w:tcPr>
            <w:tcW w:type="dxa" w:w="3300"/>
            <w:shd w:fill="F4F7FA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6"/>
              </w:rPr>
              <w:t>Inspect a workbook or dataset, run calculations, check anomalies, and explain the result.</w:t>
            </w:r>
          </w:p>
        </w:tc>
        <w:tc>
          <w:tcPr>
            <w:tcW w:type="dxa" w:w="1350"/>
            <w:shd w:fill="F4F7FA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6"/>
              </w:rPr>
              <w:t>75K–400K in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6"/>
              </w:rPr>
              <w:t>10K–50K out</w:t>
            </w:r>
          </w:p>
        </w:tc>
        <w:tc>
          <w:tcPr>
            <w:tcW w:type="dxa" w:w="1505"/>
            <w:shd w:fill="F4F7FA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6"/>
              </w:rPr>
              <w:t>Terra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6"/>
              </w:rPr>
              <w:t>$0.27–$1.4</w:t>
            </w:r>
          </w:p>
        </w:tc>
        <w:tc>
          <w:tcPr>
            <w:tcW w:type="dxa" w:w="1505"/>
            <w:shd w:fill="F4F7FA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6"/>
              </w:rPr>
              <w:t>Sonnet 5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6"/>
              </w:rPr>
              <w:t>$0.25–$1.3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202B33"/>
                <w:sz w:val="17"/>
              </w:rPr>
              <w:t>Professional doc or deck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6"/>
              </w:rPr>
              <w:t>Research, structure, draft, format, revise, and visually verify a shareable artifact.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6"/>
              </w:rPr>
              <w:t>75K–400K in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6"/>
              </w:rPr>
              <w:t>10K–60K out</w:t>
            </w:r>
          </w:p>
        </w:tc>
        <w:tc>
          <w:tcPr>
            <w:tcW w:type="dxa" w:w="1505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6"/>
              </w:rPr>
              <w:t>Terra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6"/>
              </w:rPr>
              <w:t>$0.27–$1.5</w:t>
            </w:r>
          </w:p>
        </w:tc>
        <w:tc>
          <w:tcPr>
            <w:tcW w:type="dxa" w:w="1505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6"/>
              </w:rPr>
              <w:t>Sonnet 5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6"/>
              </w:rPr>
              <w:t>$0.25–$1.4</w:t>
            </w:r>
          </w:p>
        </w:tc>
      </w:tr>
      <w:tr>
        <w:trPr>
          <w:cantSplit/>
        </w:trPr>
        <w:tc>
          <w:tcPr>
            <w:tcW w:type="dxa" w:w="1700"/>
            <w:shd w:fill="F4F7FA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202B33"/>
                <w:sz w:val="17"/>
              </w:rPr>
              <w:t>Small code change</w:t>
            </w:r>
          </w:p>
        </w:tc>
        <w:tc>
          <w:tcPr>
            <w:tcW w:type="dxa" w:w="3300"/>
            <w:shd w:fill="F4F7FA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6"/>
              </w:rPr>
              <w:t>Read relevant files, plan, edit, run tests, inspect failures, and revise.</w:t>
            </w:r>
          </w:p>
        </w:tc>
        <w:tc>
          <w:tcPr>
            <w:tcW w:type="dxa" w:w="1350"/>
            <w:shd w:fill="F4F7FA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6"/>
              </w:rPr>
              <w:t>50K–250K in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6"/>
              </w:rPr>
              <w:t>10K–50K out</w:t>
            </w:r>
          </w:p>
        </w:tc>
        <w:tc>
          <w:tcPr>
            <w:tcW w:type="dxa" w:w="1505"/>
            <w:shd w:fill="F4F7FA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6"/>
              </w:rPr>
              <w:t>Terra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6"/>
              </w:rPr>
              <w:t>$0.22–$1.1</w:t>
            </w:r>
          </w:p>
        </w:tc>
        <w:tc>
          <w:tcPr>
            <w:tcW w:type="dxa" w:w="1505"/>
            <w:shd w:fill="F4F7FA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6"/>
              </w:rPr>
              <w:t>Sonnet 5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6"/>
              </w:rPr>
              <w:t>$0.20–$1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202B33"/>
                <w:sz w:val="17"/>
              </w:rPr>
              <w:t>Debug or review a PR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6"/>
              </w:rPr>
              <w:t>Trace behavior across files/logs, form hypotheses, test them, and report or implement a fix.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6"/>
              </w:rPr>
              <w:t>150K–800K in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6"/>
              </w:rPr>
              <w:t>25K–120K out</w:t>
            </w:r>
          </w:p>
        </w:tc>
        <w:tc>
          <w:tcPr>
            <w:tcW w:type="dxa" w:w="1505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6"/>
              </w:rPr>
              <w:t>Sol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6"/>
              </w:rPr>
              <w:t>$1.5–$7.6</w:t>
            </w:r>
          </w:p>
        </w:tc>
        <w:tc>
          <w:tcPr>
            <w:tcW w:type="dxa" w:w="1505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6"/>
              </w:rPr>
              <w:t>Opus 5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6"/>
              </w:rPr>
              <w:t>$1.4–$7</w:t>
            </w:r>
          </w:p>
        </w:tc>
      </w:tr>
    </w:tbl>
    <w:p>
      <w:pPr>
        <w:spacing w:after="0"/>
      </w:pPr>
    </w:p>
    <w:p>
      <w:pPr>
        <w:spacing w:before="80" w:after="100" w:line="264" w:lineRule="auto"/>
      </w:pPr>
      <w:r>
        <w:rPr>
          <w:rFonts w:ascii="Calibri" w:hAnsi="Calibri"/>
          <w:b w:val="0"/>
          <w:i/>
          <w:color w:val="667085"/>
          <w:sz w:val="17"/>
        </w:rPr>
        <w:t>The upper end assumes several model/tool turns and at least one revision cycle. If the task is one-pass and tightly scoped, use the lower end.</w:t>
      </w:r>
    </w:p>
    <w:p>
      <w:pPr>
        <w:pStyle w:val="Heading1"/>
        <w:keepNext/>
      </w:pPr>
      <w:r>
        <w:t>Deep and heavy work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1700"/>
        <w:gridCol w:w="3300"/>
        <w:gridCol w:w="1350"/>
        <w:gridCol w:w="1505"/>
        <w:gridCol w:w="1505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Use case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What the work includes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Cumulative tokens</w:t>
            </w:r>
          </w:p>
        </w:tc>
        <w:tc>
          <w:tcPr>
            <w:tcW w:type="dxa" w:w="1505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OpenAI</w:t>
            </w:r>
          </w:p>
        </w:tc>
        <w:tc>
          <w:tcPr>
            <w:tcW w:type="dxa" w:w="1505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Anthropic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202B33"/>
                <w:sz w:val="17"/>
              </w:rPr>
              <w:t>Deep knowledge work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6"/>
              </w:rPr>
              <w:t>Spend 2–6 hours reading a corpus, developing hypotheses, testing counterarguments, and writing a decision-grade synthesis.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6"/>
              </w:rPr>
              <w:t>800K–4M in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6"/>
              </w:rPr>
              <w:t>150K–800K out</w:t>
            </w:r>
          </w:p>
        </w:tc>
        <w:tc>
          <w:tcPr>
            <w:tcW w:type="dxa" w:w="1505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6"/>
              </w:rPr>
              <w:t>Sol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6"/>
              </w:rPr>
              <w:t>$8.5–$44</w:t>
            </w:r>
          </w:p>
        </w:tc>
        <w:tc>
          <w:tcPr>
            <w:tcW w:type="dxa" w:w="1505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6"/>
              </w:rPr>
              <w:t>Opus 5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6"/>
              </w:rPr>
              <w:t>$7.8–$40</w:t>
            </w:r>
          </w:p>
        </w:tc>
      </w:tr>
      <w:tr>
        <w:trPr>
          <w:cantSplit/>
        </w:trPr>
        <w:tc>
          <w:tcPr>
            <w:tcW w:type="dxa" w:w="1700"/>
            <w:shd w:fill="F4F7FA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202B33"/>
                <w:sz w:val="17"/>
              </w:rPr>
              <w:t>Heavy coding day</w:t>
            </w:r>
          </w:p>
        </w:tc>
        <w:tc>
          <w:tcPr>
            <w:tcW w:type="dxa" w:w="3300"/>
            <w:shd w:fill="F4F7FA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6"/>
              </w:rPr>
              <w:t>Explore a codebase, implement a substantial feature or refactor, test repeatedly, and document the result.</w:t>
            </w:r>
          </w:p>
        </w:tc>
        <w:tc>
          <w:tcPr>
            <w:tcW w:type="dxa" w:w="1350"/>
            <w:shd w:fill="F4F7FA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6"/>
              </w:rPr>
              <w:t>1M–6M in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6"/>
              </w:rPr>
              <w:t>200K–1M out</w:t>
            </w:r>
          </w:p>
        </w:tc>
        <w:tc>
          <w:tcPr>
            <w:tcW w:type="dxa" w:w="1505"/>
            <w:shd w:fill="F4F7FA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6"/>
              </w:rPr>
              <w:t>Sol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6"/>
              </w:rPr>
              <w:t>$11–$60</w:t>
            </w:r>
          </w:p>
        </w:tc>
        <w:tc>
          <w:tcPr>
            <w:tcW w:type="dxa" w:w="1505"/>
            <w:shd w:fill="F4F7FA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6"/>
              </w:rPr>
              <w:t>Opus 5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6"/>
              </w:rPr>
              <w:t>$10–$55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202B33"/>
                <w:sz w:val="17"/>
              </w:rPr>
              <w:t>MVP app from zero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6"/>
              </w:rPr>
              <w:t>Clarify scope, scaffold, design UI/data flows, implement, integrate, test, polish, and package a deployable MVP.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6"/>
              </w:rPr>
              <w:t>3M–15M in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6"/>
              </w:rPr>
              <w:t>500K–2.5M out</w:t>
            </w:r>
          </w:p>
        </w:tc>
        <w:tc>
          <w:tcPr>
            <w:tcW w:type="dxa" w:w="1505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6"/>
              </w:rPr>
              <w:t>Sol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6"/>
              </w:rPr>
              <w:t>$30–$150</w:t>
            </w:r>
          </w:p>
        </w:tc>
        <w:tc>
          <w:tcPr>
            <w:tcW w:type="dxa" w:w="1505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6"/>
              </w:rPr>
              <w:t>Opus 5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6"/>
              </w:rPr>
              <w:t>$27.5–$138</w:t>
            </w:r>
          </w:p>
        </w:tc>
      </w:tr>
    </w:tbl>
    <w:p>
      <w:pPr>
        <w:spacing w:after="0"/>
      </w:pPr>
    </w:p>
    <w:p>
      <w:pPr>
        <w:spacing w:before="80" w:after="100" w:line="264" w:lineRule="auto"/>
      </w:pPr>
      <w:r>
        <w:rPr>
          <w:rFonts w:ascii="Calibri" w:hAnsi="Calibri"/>
          <w:b w:val="0"/>
          <w:i/>
          <w:color w:val="667085"/>
          <w:sz w:val="17"/>
        </w:rPr>
        <w:t>“MVP from zero” means a modest deployable product, not a production system with security review, migration, observability, compliance, operations, and months of product iteration.</w:t>
      </w:r>
    </w:p>
    <w:p>
      <w:pPr>
        <w:spacing w:before="80" w:after="200" w:line="288" w:lineRule="auto"/>
        <w:ind w:left="230" w:right="115"/>
        <w:shd w:fill="F4F7FA"/>
        <w:pBdr>
          <w:left w:val="single" w:sz="20" w:space="8" w:color="2E74B5"/>
        </w:pBdr>
      </w:pPr>
      <w:r>
        <w:rPr>
          <w:rFonts w:ascii="Calibri" w:hAnsi="Calibri"/>
          <w:b/>
          <w:color w:val="17324D"/>
          <w:sz w:val="21"/>
        </w:rPr>
        <w:t xml:space="preserve">WHY OUTPUT COST MATTERS  </w:t>
      </w:r>
      <w:r>
        <w:rPr>
          <w:rFonts w:ascii="Calibri" w:hAnsi="Calibri"/>
          <w:color w:val="202B33"/>
          <w:sz w:val="21"/>
        </w:rPr>
        <w:t>Frontier-model output is 5–6× the price of input in these rate cards. Long reasoning traces, code generation, verbose agents, and repeated rewritten deliverables can move cost more than adding another source document.</w:t>
      </w:r>
    </w:p>
    <w:p>
      <w:r>
        <w:br w:type="page"/>
      </w:r>
    </w:p>
    <w:p>
      <w:pPr>
        <w:spacing w:before="0" w:after="80" w:line="240" w:lineRule="auto"/>
        <w:keepNext/>
      </w:pPr>
      <w:r>
        <w:rPr>
          <w:rFonts w:ascii="Calibri" w:hAnsi="Calibri"/>
          <w:b/>
          <w:i w:val="0"/>
          <w:color w:val="A26B16"/>
          <w:sz w:val="19"/>
        </w:rPr>
        <w:t>DEEP WORK</w:t>
      </w:r>
    </w:p>
    <w:p>
      <w:pPr>
        <w:pStyle w:val="Heading1"/>
        <w:keepNext/>
      </w:pPr>
      <w:r>
        <w:t>What “deep knowledge work” actually includes</w:t>
      </w:r>
    </w:p>
    <w:p>
      <w:pPr>
        <w:spacing w:before="0" w:after="120" w:line="300" w:lineRule="auto"/>
      </w:pPr>
      <w:r>
        <w:rPr>
          <w:rFonts w:ascii="Calibri" w:hAnsi="Calibri"/>
          <w:b/>
          <w:color w:val="17324D"/>
          <w:sz w:val="22"/>
        </w:rPr>
        <w:t xml:space="preserve">Frame </w:t>
      </w:r>
      <w:r>
        <w:rPr>
          <w:rFonts w:ascii="Calibri" w:hAnsi="Calibri"/>
          <w:color w:val="202B33"/>
          <w:sz w:val="22"/>
        </w:rPr>
        <w:t>define the decision, evidence standard, audience, uncertainties, and what would change the conclusion.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7324D"/>
          <w:sz w:val="22"/>
        </w:rPr>
        <w:t xml:space="preserve">Retrieve </w:t>
      </w:r>
      <w:r>
        <w:rPr>
          <w:rFonts w:ascii="Calibri" w:hAnsi="Calibri"/>
          <w:color w:val="202B33"/>
          <w:sz w:val="22"/>
        </w:rPr>
        <w:t>search multiple corpora—documents, Slack, Figma, code, web sources, datasets—and preserve provenance.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7324D"/>
          <w:sz w:val="22"/>
        </w:rPr>
        <w:t xml:space="preserve">Analyze </w:t>
      </w:r>
      <w:r>
        <w:rPr>
          <w:rFonts w:ascii="Calibri" w:hAnsi="Calibri"/>
          <w:color w:val="202B33"/>
          <w:sz w:val="22"/>
        </w:rPr>
        <w:t>build themes and models, compare alternatives, quantify where possible, and distinguish facts from inference.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7324D"/>
          <w:sz w:val="22"/>
        </w:rPr>
        <w:t xml:space="preserve">Challenge </w:t>
      </w:r>
      <w:r>
        <w:rPr>
          <w:rFonts w:ascii="Calibri" w:hAnsi="Calibri"/>
          <w:color w:val="202B33"/>
          <w:sz w:val="22"/>
        </w:rPr>
        <w:t>look for contradictory evidence, missing stakeholders, weak causal claims, security/privacy issues, and false confidence.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7324D"/>
          <w:sz w:val="22"/>
        </w:rPr>
        <w:t xml:space="preserve">Synthesize </w:t>
      </w:r>
      <w:r>
        <w:rPr>
          <w:rFonts w:ascii="Calibri" w:hAnsi="Calibri"/>
          <w:color w:val="202B33"/>
          <w:sz w:val="22"/>
        </w:rPr>
        <w:t>produce a decision-grade narrative, matrix, recommendation, or plan and iterate against the audience’s likely questions.</w:t>
      </w:r>
    </w:p>
    <w:p>
      <w:pPr>
        <w:spacing w:before="80" w:after="200" w:line="288" w:lineRule="auto"/>
        <w:ind w:left="230" w:right="115"/>
        <w:shd w:fill="F4F7FA"/>
        <w:pBdr>
          <w:left w:val="single" w:sz="20" w:space="8" w:color="2E74B5"/>
        </w:pBdr>
      </w:pPr>
      <w:r>
        <w:rPr>
          <w:rFonts w:ascii="Calibri" w:hAnsi="Calibri"/>
          <w:b/>
          <w:color w:val="17324D"/>
          <w:sz w:val="21"/>
        </w:rPr>
        <w:t xml:space="preserve">DEEP-DEEP RANGE  </w:t>
      </w:r>
      <w:r>
        <w:rPr>
          <w:rFonts w:ascii="Calibri" w:hAnsi="Calibri"/>
          <w:color w:val="202B33"/>
          <w:sz w:val="21"/>
        </w:rPr>
        <w:t>A single expert agent doing a half-day synthesis is roughly 0.8–4M input and 0.15–0.8M output. A full-day, cross-domain, decision-critical inquiry can reach 1.5–10M input and 0.25–1.5M output—about $15–$95 on OpenAI Sol or $14–$88 on Anthropic Opus 5 before tool fees.</w:t>
      </w:r>
    </w:p>
    <w:p>
      <w:pPr>
        <w:pStyle w:val="Heading1"/>
        <w:keepNext/>
      </w:pPr>
      <w:r>
        <w:t>Working with 1, 2, 4, or 8 agents</w:t>
      </w:r>
    </w:p>
    <w:p>
      <w:pPr>
        <w:spacing w:before="80" w:after="100" w:line="264" w:lineRule="auto"/>
      </w:pPr>
      <w:r>
        <w:rPr>
          <w:rFonts w:ascii="Calibri" w:hAnsi="Calibri"/>
          <w:b w:val="0"/>
          <w:i/>
          <w:color w:val="667085"/>
          <w:sz w:val="17"/>
        </w:rPr>
        <w:t>Illustrative heavy-work baseline: one agent uses 3M input + 0.5M output. Agent counts assume useful specialization and controlled handoffs; they are not a promise of speedup.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800"/>
        <w:gridCol w:w="2700"/>
        <w:gridCol w:w="1600"/>
        <w:gridCol w:w="2010"/>
        <w:gridCol w:w="2250"/>
      </w:tblGrid>
      <w:tr>
        <w:trPr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Agents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Useful topology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Example cumulative use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All frontier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Mixed fleet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7"/>
              </w:rPr>
              <w:t>1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7"/>
              </w:rPr>
              <w:t>One owner: research → build → verify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7"/>
              </w:rPr>
              <w:t>3M in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7"/>
              </w:rPr>
              <w:t>0.5M out</w:t>
            </w:r>
          </w:p>
        </w:tc>
        <w:tc>
          <w:tcPr>
            <w:tcW w:type="dxa" w:w="2010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7"/>
              </w:rPr>
              <w:t>OpenAI $30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7"/>
              </w:rPr>
              <w:t>Anthropic $27.5</w:t>
            </w:r>
          </w:p>
        </w:tc>
        <w:tc>
          <w:tcPr>
            <w:tcW w:type="dxa" w:w="2250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202B33"/>
                <w:sz w:val="17"/>
              </w:rPr>
              <w:t>Not applicable</w:t>
            </w:r>
          </w:p>
        </w:tc>
      </w:tr>
      <w:tr>
        <w:trPr>
          <w:cantSplit/>
        </w:trPr>
        <w:tc>
          <w:tcPr>
            <w:tcW w:type="dxa" w:w="800"/>
            <w:shd w:fill="F4F7FA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7"/>
              </w:rPr>
              <w:t>2</w:t>
            </w:r>
          </w:p>
        </w:tc>
        <w:tc>
          <w:tcPr>
            <w:tcW w:type="dxa" w:w="2700"/>
            <w:shd w:fill="F4F7FA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7"/>
              </w:rPr>
              <w:t>Coordinator + one specialist</w:t>
            </w:r>
          </w:p>
        </w:tc>
        <w:tc>
          <w:tcPr>
            <w:tcW w:type="dxa" w:w="1600"/>
            <w:shd w:fill="F4F7FA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7"/>
              </w:rPr>
              <w:t>5M in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7"/>
              </w:rPr>
              <w:t>0.8M out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7"/>
              </w:rPr>
              <w:t>≈1.7×</w:t>
            </w:r>
          </w:p>
        </w:tc>
        <w:tc>
          <w:tcPr>
            <w:tcW w:type="dxa" w:w="2010"/>
            <w:shd w:fill="F4F7FA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7"/>
              </w:rPr>
              <w:t>OpenAI $49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7"/>
              </w:rPr>
              <w:t>Anthropic $45</w:t>
            </w:r>
          </w:p>
        </w:tc>
        <w:tc>
          <w:tcPr>
            <w:tcW w:type="dxa" w:w="2250"/>
            <w:shd w:fill="F4F7FA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7"/>
              </w:rPr>
              <w:t>OpenAI $27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7"/>
              </w:rPr>
              <w:t>Anthropic $24.8</w:t>
            </w:r>
          </w:p>
        </w:tc>
      </w:tr>
      <w:tr>
        <w:trPr>
          <w:cantSplit/>
        </w:trPr>
        <w:tc>
          <w:tcPr>
            <w:tcW w:type="dxa" w:w="800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7"/>
              </w:rPr>
              <w:t>4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7"/>
              </w:rPr>
              <w:t>Coordinator + 3 parallel specialists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7"/>
              </w:rPr>
              <w:t>9M in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7"/>
              </w:rPr>
              <w:t>1.5M out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7"/>
              </w:rPr>
              <w:t>≈3.0×</w:t>
            </w:r>
          </w:p>
        </w:tc>
        <w:tc>
          <w:tcPr>
            <w:tcW w:type="dxa" w:w="2010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7"/>
              </w:rPr>
              <w:t>OpenAI $90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7"/>
              </w:rPr>
              <w:t>Anthropic $82.5</w:t>
            </w:r>
          </w:p>
        </w:tc>
        <w:tc>
          <w:tcPr>
            <w:tcW w:type="dxa" w:w="2250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7"/>
              </w:rPr>
              <w:t>OpenAI $49.5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7"/>
              </w:rPr>
              <w:t>Anthropic $45.4</w:t>
            </w:r>
          </w:p>
        </w:tc>
      </w:tr>
      <w:tr>
        <w:trPr>
          <w:cantSplit/>
        </w:trPr>
        <w:tc>
          <w:tcPr>
            <w:tcW w:type="dxa" w:w="800"/>
            <w:shd w:fill="F4F7FA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7"/>
              </w:rPr>
              <w:t>8</w:t>
            </w:r>
          </w:p>
        </w:tc>
        <w:tc>
          <w:tcPr>
            <w:tcW w:type="dxa" w:w="2700"/>
            <w:shd w:fill="F4F7FA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7"/>
              </w:rPr>
              <w:t>Coordinator + 7 narrow workstreams</w:t>
            </w:r>
          </w:p>
        </w:tc>
        <w:tc>
          <w:tcPr>
            <w:tcW w:type="dxa" w:w="1600"/>
            <w:shd w:fill="F4F7FA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7"/>
              </w:rPr>
              <w:t>16M in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7"/>
              </w:rPr>
              <w:t>2.6M out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7"/>
              </w:rPr>
              <w:t>≈5.3×</w:t>
            </w:r>
          </w:p>
        </w:tc>
        <w:tc>
          <w:tcPr>
            <w:tcW w:type="dxa" w:w="2010"/>
            <w:shd w:fill="F4F7FA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7"/>
              </w:rPr>
              <w:t>OpenAI $158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7"/>
              </w:rPr>
              <w:t>Anthropic $145</w:t>
            </w:r>
          </w:p>
        </w:tc>
        <w:tc>
          <w:tcPr>
            <w:tcW w:type="dxa" w:w="2250"/>
            <w:shd w:fill="F4F7FA"/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/>
                <w:b/>
                <w:color w:val="202B33"/>
                <w:sz w:val="17"/>
              </w:rPr>
              <w:t>OpenAI $86.9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 w:val="0"/>
                <w:color w:val="202B33"/>
                <w:sz w:val="17"/>
              </w:rPr>
              <w:t>Anthropic $79.8</w:t>
            </w:r>
          </w:p>
        </w:tc>
      </w:tr>
    </w:tbl>
    <w:p>
      <w:pPr>
        <w:spacing w:after="0"/>
      </w:pPr>
    </w:p>
    <w:p>
      <w:pPr>
        <w:spacing w:before="80" w:after="100" w:line="264" w:lineRule="auto"/>
      </w:pPr>
      <w:r>
        <w:rPr>
          <w:rFonts w:ascii="Calibri" w:hAnsi="Calibri"/>
          <w:b w:val="0"/>
          <w:i/>
          <w:color w:val="667085"/>
          <w:sz w:val="17"/>
        </w:rPr>
        <w:t>All-frontier = OpenAI Sol or Anthropic Opus 5 for every token. Mixed fleet = 25% of tokens on Sol/Opus and 75% on Terra/Sonnet. Real routing will differ by role and quality requirements.</w:t>
      </w:r>
    </w:p>
    <w:p>
      <w:r>
        <w:br w:type="page"/>
      </w:r>
    </w:p>
    <w:p>
      <w:pPr>
        <w:pStyle w:val="Heading2"/>
        <w:keepNext/>
      </w:pPr>
      <w:r>
        <w:t>When more agents help—and when they do not</w:t>
      </w:r>
    </w:p>
    <w:p>
      <w:pPr>
        <w:spacing w:before="0" w:after="120" w:line="300" w:lineRule="auto"/>
      </w:pPr>
      <w:r>
        <w:rPr>
          <w:rFonts w:ascii="Calibri" w:hAnsi="Calibri"/>
          <w:b/>
          <w:color w:val="17324D"/>
          <w:sz w:val="22"/>
        </w:rPr>
        <w:t xml:space="preserve">Good split </w:t>
      </w:r>
      <w:r>
        <w:rPr>
          <w:rFonts w:ascii="Calibri" w:hAnsi="Calibri"/>
          <w:color w:val="202B33"/>
          <w:sz w:val="22"/>
        </w:rPr>
        <w:t>independent source sets, separate technical subsystems, distinct hypotheses, or explicit researcher / builder / critic / verifier roles.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7324D"/>
          <w:sz w:val="22"/>
        </w:rPr>
        <w:t xml:space="preserve">Poor split </w:t>
      </w:r>
      <w:r>
        <w:rPr>
          <w:rFonts w:ascii="Calibri" w:hAnsi="Calibri"/>
          <w:color w:val="202B33"/>
          <w:sz w:val="22"/>
        </w:rPr>
        <w:t>every agent rereads the same large corpus, edits the same files, or produces overlapping prose that the coordinator must reconcile.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7324D"/>
          <w:sz w:val="22"/>
        </w:rPr>
        <w:t xml:space="preserve">Rule of thumb </w:t>
      </w:r>
      <w:r>
        <w:rPr>
          <w:rFonts w:ascii="Calibri" w:hAnsi="Calibri"/>
          <w:color w:val="202B33"/>
          <w:sz w:val="22"/>
        </w:rPr>
        <w:t>2 agents often cost 1.6–2.0× a strong single-agent run; 4 agents about 2.7–3.5×; 8 agents about 4.5–6.5×. Badly scoped swarms can approach or exceed linear growth.</w:t>
      </w:r>
    </w:p>
    <w:p>
      <w:pPr>
        <w:spacing w:before="0" w:after="80" w:line="240" w:lineRule="auto"/>
        <w:keepNext/>
      </w:pPr>
      <w:r>
        <w:rPr>
          <w:rFonts w:ascii="Calibri" w:hAnsi="Calibri"/>
          <w:b/>
          <w:i w:val="0"/>
          <w:color w:val="A26B16"/>
          <w:sz w:val="19"/>
        </w:rPr>
        <w:t>LOCAL CALIBRATION</w:t>
      </w:r>
    </w:p>
    <w:p>
      <w:pPr>
        <w:pStyle w:val="Heading1"/>
        <w:keepNext/>
      </w:pPr>
      <w:r>
        <w:t>A project already in this workspace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02B33"/>
          <w:sz w:val="22"/>
        </w:rPr>
        <w:t>The local public-GitHub exposure audit is a useful example of deep research and knowledge production—not a greenfield app build.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What was observed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202B33"/>
                <w:sz w:val="18"/>
              </w:rPr>
              <w:t>Scope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8"/>
              </w:rPr>
              <w:t>Public-only account/repository discovery, deterministic scanning, evidence review, classification, and reporting</w:t>
            </w:r>
          </w:p>
        </w:tc>
      </w:tr>
      <w:tr>
        <w:trPr>
          <w:cantSplit/>
        </w:trPr>
        <w:tc>
          <w:tcPr>
            <w:tcW w:type="dxa" w:w="1900"/>
            <w:shd w:fill="F4F7FA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202B33"/>
                <w:sz w:val="18"/>
              </w:rPr>
              <w:t>Observed artifacts</w:t>
            </w:r>
          </w:p>
        </w:tc>
        <w:tc>
          <w:tcPr>
            <w:tcW w:type="dxa" w:w="7460"/>
            <w:shd w:fill="F4F7FA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8"/>
              </w:rPr>
              <w:t>3 Python utilities totaling 985 lines; about 2.28 MB of reports, review packets, and JSON evidence in the inspected workspace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202B33"/>
                <w:sz w:val="18"/>
              </w:rPr>
              <w:t>Work volume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8"/>
              </w:rPr>
              <w:t>160 person-linked public repositories plus a 128-repository IDEO organization pass represented in the finished overview</w:t>
            </w:r>
          </w:p>
        </w:tc>
      </w:tr>
      <w:tr>
        <w:trPr>
          <w:cantSplit/>
        </w:trPr>
        <w:tc>
          <w:tcPr>
            <w:tcW w:type="dxa" w:w="1900"/>
            <w:shd w:fill="F4F7FA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202B33"/>
                <w:sz w:val="18"/>
              </w:rPr>
              <w:t>Model-heavy steps</w:t>
            </w:r>
          </w:p>
        </w:tc>
        <w:tc>
          <w:tcPr>
            <w:tcW w:type="dxa" w:w="7460"/>
            <w:shd w:fill="F4F7FA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8"/>
              </w:rPr>
              <w:t>identity/evidence synthesis, false-positive classification, cross-source reasoning, report drafting, revision, and provenance checks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202B33"/>
                <w:sz w:val="18"/>
              </w:rPr>
              <w:t>Mostly non-token steps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8"/>
              </w:rPr>
              <w:t>GitHub/API retrieval, deterministic scans, local parsing, file generation, and shell execution</w:t>
            </w:r>
          </w:p>
        </w:tc>
      </w:tr>
    </w:tbl>
    <w:p>
      <w:pPr>
        <w:spacing w:after="0"/>
      </w:pPr>
    </w:p>
    <w:p>
      <w:pPr>
        <w:spacing w:before="80" w:after="200" w:line="288" w:lineRule="auto"/>
        <w:ind w:left="230" w:right="115"/>
        <w:shd w:fill="F4F7FA"/>
        <w:pBdr>
          <w:left w:val="single" w:sz="20" w:space="8" w:color="2E74B5"/>
        </w:pBdr>
      </w:pPr>
      <w:r>
        <w:rPr>
          <w:rFonts w:ascii="Calibri" w:hAnsi="Calibri"/>
          <w:b/>
          <w:color w:val="17324D"/>
          <w:sz w:val="21"/>
        </w:rPr>
        <w:t xml:space="preserve">PLANNING ESTIMATE—NOT MEASURED BILLING  </w:t>
      </w:r>
      <w:r>
        <w:rPr>
          <w:rFonts w:ascii="Calibri" w:hAnsi="Calibri"/>
          <w:color w:val="202B33"/>
          <w:sz w:val="21"/>
        </w:rPr>
        <w:t>Based on artifact volume and the repeated synthesis/revision pattern, a comparable API workflow could reasonably budget 2–8M cumulative input and 0.15–0.6M output. That is about $14.5–$58 on OpenAI Sol or $13.8–$55 on Anthropic Opus 5. A four-agent version could be higher if each specialist rereads the same evidence. Actual historical usage logs were not present, so this is an inference, not a reconstruction.</w:t>
      </w:r>
    </w:p>
    <w:p>
      <w:r>
        <w:br w:type="page"/>
      </w:r>
    </w:p>
    <w:p>
      <w:pPr>
        <w:pStyle w:val="Heading2"/>
        <w:keepNext/>
      </w:pPr>
      <w:r>
        <w:t>Why the files do not equal the tokens</w:t>
      </w:r>
    </w:p>
    <w:p>
      <w:pPr>
        <w:spacing w:before="0" w:after="120" w:line="300" w:lineRule="auto"/>
      </w:pPr>
      <w:r>
        <w:rPr>
          <w:rFonts w:ascii="Calibri" w:hAnsi="Calibri"/>
          <w:b/>
          <w:color w:val="17324D"/>
          <w:sz w:val="22"/>
        </w:rPr>
        <w:t xml:space="preserve">Unique bytes understate use </w:t>
      </w:r>
      <w:r>
        <w:rPr>
          <w:rFonts w:ascii="Calibri" w:hAnsi="Calibri"/>
          <w:color w:val="202B33"/>
          <w:sz w:val="22"/>
        </w:rPr>
        <w:t>the same evidence may be retrieved, filtered, quoted, and resubmitted during several reasoning and revision turns.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7324D"/>
          <w:sz w:val="22"/>
        </w:rPr>
        <w:t xml:space="preserve">Unique bytes can also overstate use </w:t>
      </w:r>
      <w:r>
        <w:rPr>
          <w:rFonts w:ascii="Calibri" w:hAnsi="Calibri"/>
          <w:color w:val="202B33"/>
          <w:sz w:val="22"/>
        </w:rPr>
        <w:t>deterministic scripts can scan megabytes or repositories without sending all content to a model.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7324D"/>
          <w:sz w:val="22"/>
        </w:rPr>
        <w:t xml:space="preserve">The practical answer </w:t>
      </w:r>
      <w:r>
        <w:rPr>
          <w:rFonts w:ascii="Calibri" w:hAnsi="Calibri"/>
          <w:color w:val="202B33"/>
          <w:sz w:val="22"/>
        </w:rPr>
        <w:t>measure input, cached input, output, tool calls, retries, and model per call in production; use this guide only before telemetry exists.</w:t>
      </w:r>
    </w:p>
    <w:p>
      <w:pPr>
        <w:pStyle w:val="Heading1"/>
        <w:keepNext/>
      </w:pPr>
      <w:r>
        <w:t>Fast planning worksheet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D"/>
          <w:left w:val="single" w:sz="6" w:space="0" w:color="C9D3DD"/>
          <w:bottom w:val="single" w:sz="6" w:space="0" w:color="C9D3DD"/>
          <w:right w:val="single" w:sz="6" w:space="0" w:color="C9D3DD"/>
          <w:insideH w:val="single" w:sz="6" w:space="0" w:color="C9D3DD"/>
          <w:insideV w:val="single" w:sz="6" w:space="0" w:color="C9D3DD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Input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17324D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Planning question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202B33"/>
                <w:sz w:val="18"/>
              </w:rPr>
              <w:t>1. Deliverable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8"/>
              </w:rPr>
              <w:t>Answer, Slack post, synthesis, report, code change, prototype, or deployable app</w:t>
            </w:r>
          </w:p>
        </w:tc>
      </w:tr>
      <w:tr>
        <w:trPr>
          <w:cantSplit/>
        </w:trPr>
        <w:tc>
          <w:tcPr>
            <w:tcW w:type="dxa" w:w="1800"/>
            <w:shd w:fill="F4F7FA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202B33"/>
                <w:sz w:val="18"/>
              </w:rPr>
              <w:t>2. Corpus</w:t>
            </w:r>
          </w:p>
        </w:tc>
        <w:tc>
          <w:tcPr>
            <w:tcW w:type="dxa" w:w="7560"/>
            <w:shd w:fill="F4F7FA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8"/>
              </w:rPr>
              <w:t>How many files/frames/threads/repos? Approximate unique tokens or bytes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202B33"/>
                <w:sz w:val="18"/>
              </w:rPr>
              <w:t>3. Loops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8"/>
              </w:rPr>
              <w:t>How many search, tool, test, critique, and revision cycles?</w:t>
            </w:r>
          </w:p>
        </w:tc>
      </w:tr>
      <w:tr>
        <w:trPr>
          <w:cantSplit/>
        </w:trPr>
        <w:tc>
          <w:tcPr>
            <w:tcW w:type="dxa" w:w="1800"/>
            <w:shd w:fill="F4F7FA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202B33"/>
                <w:sz w:val="18"/>
              </w:rPr>
              <w:t>4. Quality tier</w:t>
            </w:r>
          </w:p>
        </w:tc>
        <w:tc>
          <w:tcPr>
            <w:tcW w:type="dxa" w:w="7560"/>
            <w:shd w:fill="F4F7FA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8"/>
              </w:rPr>
              <w:t>Bounded/fast, balanced production, or frontier/deep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202B33"/>
                <w:sz w:val="18"/>
              </w:rPr>
              <w:t>5. Parallelism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8"/>
              </w:rPr>
              <w:t>1, 2, 4, or 8 agents—and a distinct role for each</w:t>
            </w:r>
          </w:p>
        </w:tc>
      </w:tr>
      <w:tr>
        <w:trPr>
          <w:cantSplit/>
        </w:trPr>
        <w:tc>
          <w:tcPr>
            <w:tcW w:type="dxa" w:w="1800"/>
            <w:shd w:fill="F4F7FA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202B33"/>
                <w:sz w:val="18"/>
              </w:rPr>
              <w:t>6. Non-token cost</w:t>
            </w:r>
          </w:p>
        </w:tc>
        <w:tc>
          <w:tcPr>
            <w:tcW w:type="dxa" w:w="7560"/>
            <w:shd w:fill="F4F7FA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8"/>
              </w:rPr>
              <w:t>Search/tool fees, connector fees, image generation, code execution, hosting, storage, and human review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/>
                <w:color w:val="202B33"/>
                <w:sz w:val="18"/>
              </w:rPr>
              <w:t>7. Contingency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202B33"/>
                <w:sz w:val="18"/>
              </w:rPr>
              <w:t>Add 25–50% for ambiguous scope; 2× for first-of-kind work without stable evals</w:t>
            </w:r>
          </w:p>
        </w:tc>
      </w:tr>
    </w:tbl>
    <w:p>
      <w:pPr>
        <w:spacing w:after="0"/>
      </w:pPr>
    </w:p>
    <w:p>
      <w:pPr>
        <w:spacing w:before="0" w:after="80" w:line="240" w:lineRule="auto"/>
        <w:keepNext/>
      </w:pPr>
      <w:r>
        <w:rPr>
          <w:rFonts w:ascii="Calibri" w:hAnsi="Calibri"/>
          <w:b/>
          <w:i w:val="0"/>
          <w:color w:val="A26B16"/>
          <w:sz w:val="19"/>
        </w:rPr>
        <w:t>GUARDRAILS</w:t>
      </w:r>
    </w:p>
    <w:p>
      <w:pPr>
        <w:pStyle w:val="Heading1"/>
        <w:keepNext/>
      </w:pPr>
      <w:r>
        <w:t>Assumptions that materially change the estimate</w:t>
      </w:r>
    </w:p>
    <w:p>
      <w:pPr>
        <w:spacing w:before="0" w:after="120" w:line="300" w:lineRule="auto"/>
      </w:pPr>
      <w:r>
        <w:rPr>
          <w:rFonts w:ascii="Calibri" w:hAnsi="Calibri"/>
          <w:b/>
          <w:color w:val="17324D"/>
          <w:sz w:val="22"/>
        </w:rPr>
        <w:t xml:space="preserve">API-equivalent only </w:t>
      </w:r>
      <w:r>
        <w:rPr>
          <w:rFonts w:ascii="Calibri" w:hAnsi="Calibri"/>
          <w:color w:val="202B33"/>
          <w:sz w:val="22"/>
        </w:rPr>
        <w:t>ChatGPT, Codex, Claude, and Claude Code subscriptions/credits do not map one-to-one to the dollar estimates here.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7324D"/>
          <w:sz w:val="22"/>
        </w:rPr>
        <w:t xml:space="preserve">Short-context OpenAI pricing </w:t>
      </w:r>
      <w:r>
        <w:rPr>
          <w:rFonts w:ascii="Calibri" w:hAnsi="Calibri"/>
          <w:color w:val="202B33"/>
          <w:sz w:val="22"/>
        </w:rPr>
        <w:t>the matrix assumes individual requests stay in the short-context tier. Cumulative task usage may be millions of tokens across many calls. A single request above the published threshold can use higher long-context rates.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7324D"/>
          <w:sz w:val="22"/>
        </w:rPr>
        <w:t xml:space="preserve">Anthropic tokenization </w:t>
      </w:r>
      <w:r>
        <w:rPr>
          <w:rFonts w:ascii="Calibri" w:hAnsi="Calibri"/>
          <w:color w:val="202B33"/>
          <w:sz w:val="22"/>
        </w:rPr>
        <w:t>Anthropic notes that Claude 4.7-and-later tokenizers can produce about 30% more tokens than earlier Claude tokenizers for the same text; exact cross-provider token counts will differ.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7324D"/>
          <w:sz w:val="22"/>
        </w:rPr>
        <w:t xml:space="preserve">Caching </w:t>
      </w:r>
      <w:r>
        <w:rPr>
          <w:rFonts w:ascii="Calibri" w:hAnsi="Calibri"/>
          <w:color w:val="202B33"/>
          <w:sz w:val="22"/>
        </w:rPr>
        <w:t>the matrix uses uncached input. Stable, repeated prefixes can be much cheaper when prompt caching is correctly implemented; new or changing context is not a cache hit.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7324D"/>
          <w:sz w:val="22"/>
        </w:rPr>
        <w:t xml:space="preserve">Tools </w:t>
      </w:r>
      <w:r>
        <w:rPr>
          <w:rFonts w:ascii="Calibri" w:hAnsi="Calibri"/>
          <w:color w:val="202B33"/>
          <w:sz w:val="22"/>
        </w:rPr>
        <w:t>server-side web search and other metered tools can add charges. Client-side connectors still add tokenized tool definitions, arguments, and results even when the connector itself has no per-call fee.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7324D"/>
          <w:sz w:val="22"/>
        </w:rPr>
        <w:t xml:space="preserve">Retries and failures </w:t>
      </w:r>
      <w:r>
        <w:rPr>
          <w:rFonts w:ascii="Calibri" w:hAnsi="Calibri"/>
          <w:color w:val="202B33"/>
          <w:sz w:val="22"/>
        </w:rPr>
        <w:t>broken tests, permission errors, weak search results, tool timeouts, and human revisions are normal sources of additional calls.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7324D"/>
          <w:sz w:val="22"/>
        </w:rPr>
        <w:t xml:space="preserve">Security and privacy </w:t>
      </w:r>
      <w:r>
        <w:rPr>
          <w:rFonts w:ascii="Calibri" w:hAnsi="Calibri"/>
          <w:color w:val="202B33"/>
          <w:sz w:val="22"/>
        </w:rPr>
        <w:t>do not optimize solely for cost. Data handling, access controls, retention, provenance, and human review may require a different provider, model, or architecture.</w:t>
      </w:r>
    </w:p>
    <w:p>
      <w:pPr>
        <w:pStyle w:val="Heading1"/>
        <w:keepNext/>
      </w:pPr>
      <w:r>
        <w:t>Recommended operating practice</w:t>
      </w:r>
    </w:p>
    <w:p>
      <w:pPr>
        <w:spacing w:before="0" w:after="120" w:line="300" w:lineRule="auto"/>
      </w:pPr>
      <w:r>
        <w:rPr>
          <w:rFonts w:ascii="Calibri" w:hAnsi="Calibri"/>
          <w:b/>
          <w:color w:val="17324D"/>
          <w:sz w:val="22"/>
        </w:rPr>
        <w:t xml:space="preserve">Estimate </w:t>
      </w:r>
      <w:r>
        <w:rPr>
          <w:rFonts w:ascii="Calibri" w:hAnsi="Calibri"/>
          <w:color w:val="202B33"/>
          <w:sz w:val="22"/>
        </w:rPr>
        <w:t>choose a use-case band and add a documented contingency.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7324D"/>
          <w:sz w:val="22"/>
        </w:rPr>
        <w:t xml:space="preserve">Instrument </w:t>
      </w:r>
      <w:r>
        <w:rPr>
          <w:rFonts w:ascii="Calibri" w:hAnsi="Calibri"/>
          <w:color w:val="202B33"/>
          <w:sz w:val="22"/>
        </w:rPr>
        <w:t>log provider, model, input, cached input, output, reasoning/thinking, tool calls, latency, retries, and task outcome.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7324D"/>
          <w:sz w:val="22"/>
        </w:rPr>
        <w:t xml:space="preserve">Evaluate </w:t>
      </w:r>
      <w:r>
        <w:rPr>
          <w:rFonts w:ascii="Calibri" w:hAnsi="Calibri"/>
          <w:color w:val="202B33"/>
          <w:sz w:val="22"/>
        </w:rPr>
        <w:t>compare quality and cost on representative tasks, not toy prompts.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7324D"/>
          <w:sz w:val="22"/>
        </w:rPr>
        <w:t xml:space="preserve">Route </w:t>
      </w:r>
      <w:r>
        <w:rPr>
          <w:rFonts w:ascii="Calibri" w:hAnsi="Calibri"/>
          <w:color w:val="202B33"/>
          <w:sz w:val="22"/>
        </w:rPr>
        <w:t>use frontier models for the decisions and hard synthesis; use balanced or efficient models for retrieval, formatting, classification, and bounded subagents.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7324D"/>
          <w:sz w:val="22"/>
        </w:rPr>
        <w:t xml:space="preserve">Review </w:t>
      </w:r>
      <w:r>
        <w:rPr>
          <w:rFonts w:ascii="Calibri" w:hAnsi="Calibri"/>
          <w:color w:val="202B33"/>
          <w:sz w:val="22"/>
        </w:rPr>
        <w:t>look at cost per successful task and human time saved, not cost per token in isolation.</w:t>
      </w:r>
    </w:p>
    <w:p>
      <w:pPr>
        <w:pStyle w:val="Heading1"/>
        <w:keepNext/>
      </w:pPr>
      <w:r>
        <w:t>Official sources</w:t>
      </w:r>
    </w:p>
    <w:p>
      <w:pPr>
        <w:spacing w:before="0" w:after="120" w:line="288" w:lineRule="auto"/>
      </w:pPr>
      <w:r>
        <w:rPr>
          <w:rFonts w:ascii="Calibri" w:hAnsi="Calibri"/>
          <w:b/>
          <w:color w:val="17324D"/>
          <w:sz w:val="21"/>
        </w:rPr>
        <w:t xml:space="preserve">1. </w:t>
      </w:r>
      <w:hyperlink r:id="rId11">
        <w:r>
          <w:rPr>
            <w:rFonts w:ascii="Calibri" w:hAnsi="Calibri"/>
            <w:color w:val="2E74B5"/>
            <w:u w:val="single"/>
          </w:rPr>
          <w:t>OpenAI API pricing</w:t>
        </w:r>
      </w:hyperlink>
      <w:r>
        <w:rPr>
          <w:rFonts w:ascii="Calibri" w:hAnsi="Calibri"/>
          <w:color w:val="202B33"/>
          <w:sz w:val="21"/>
        </w:rPr>
        <w:t xml:space="preserve"> — standard, cached, long-context, batch/flex/fast pricing. Accessed August 12, 2026.</w:t>
      </w:r>
    </w:p>
    <w:p>
      <w:pPr>
        <w:spacing w:before="0" w:after="120" w:line="288" w:lineRule="auto"/>
      </w:pPr>
      <w:r>
        <w:rPr>
          <w:rFonts w:ascii="Calibri" w:hAnsi="Calibri"/>
          <w:b/>
          <w:color w:val="17324D"/>
          <w:sz w:val="21"/>
        </w:rPr>
        <w:t xml:space="preserve">2. </w:t>
      </w:r>
      <w:hyperlink r:id="rId12">
        <w:r>
          <w:rPr>
            <w:rFonts w:ascii="Calibri" w:hAnsi="Calibri"/>
            <w:color w:val="2E74B5"/>
            <w:u w:val="single"/>
          </w:rPr>
          <w:t>OpenAI model catalog</w:t>
        </w:r>
      </w:hyperlink>
      <w:r>
        <w:rPr>
          <w:rFonts w:ascii="Calibri" w:hAnsi="Calibri"/>
          <w:color w:val="202B33"/>
          <w:sz w:val="21"/>
        </w:rPr>
        <w:t xml:space="preserve"> — current model positioning and selection guidance. Accessed August 12, 2026.</w:t>
      </w:r>
    </w:p>
    <w:p>
      <w:pPr>
        <w:spacing w:before="0" w:after="120" w:line="288" w:lineRule="auto"/>
      </w:pPr>
      <w:r>
        <w:rPr>
          <w:rFonts w:ascii="Calibri" w:hAnsi="Calibri"/>
          <w:b/>
          <w:color w:val="17324D"/>
          <w:sz w:val="21"/>
        </w:rPr>
        <w:t xml:space="preserve">3. </w:t>
      </w:r>
      <w:hyperlink r:id="rId13">
        <w:r>
          <w:rPr>
            <w:rFonts w:ascii="Calibri" w:hAnsi="Calibri"/>
            <w:color w:val="2E74B5"/>
            <w:u w:val="single"/>
          </w:rPr>
          <w:t>Anthropic pricing</w:t>
        </w:r>
      </w:hyperlink>
      <w:r>
        <w:rPr>
          <w:rFonts w:ascii="Calibri" w:hAnsi="Calibri"/>
          <w:color w:val="202B33"/>
          <w:sz w:val="21"/>
        </w:rPr>
        <w:t xml:space="preserve"> — standard, cache, batch, fast, residency, and tool-use pricing. Accessed August 12, 2026.</w:t>
      </w:r>
    </w:p>
    <w:p>
      <w:pPr>
        <w:spacing w:before="0" w:after="120" w:line="288" w:lineRule="auto"/>
      </w:pPr>
      <w:r>
        <w:rPr>
          <w:rFonts w:ascii="Calibri" w:hAnsi="Calibri"/>
          <w:b/>
          <w:color w:val="17324D"/>
          <w:sz w:val="21"/>
        </w:rPr>
        <w:t xml:space="preserve">4. </w:t>
      </w:r>
      <w:hyperlink r:id="rId14">
        <w:r>
          <w:rPr>
            <w:rFonts w:ascii="Calibri" w:hAnsi="Calibri"/>
            <w:color w:val="2E74B5"/>
            <w:u w:val="single"/>
          </w:rPr>
          <w:t>Anthropic model overview</w:t>
        </w:r>
      </w:hyperlink>
      <w:r>
        <w:rPr>
          <w:rFonts w:ascii="Calibri" w:hAnsi="Calibri"/>
          <w:color w:val="202B33"/>
          <w:sz w:val="21"/>
        </w:rPr>
        <w:t xml:space="preserve"> — model IDs, context, latency, pricing, and capabilities. Accessed August 12, 2026.</w:t>
      </w:r>
    </w:p>
    <w:p>
      <w:pPr>
        <w:spacing w:before="0" w:after="120" w:line="288" w:lineRule="auto"/>
      </w:pPr>
      <w:r>
        <w:rPr>
          <w:rFonts w:ascii="Calibri" w:hAnsi="Calibri"/>
          <w:b/>
          <w:color w:val="17324D"/>
          <w:sz w:val="21"/>
        </w:rPr>
        <w:t xml:space="preserve">5. </w:t>
      </w:r>
      <w:hyperlink r:id="rId15">
        <w:r>
          <w:rPr>
            <w:rFonts w:ascii="Calibri" w:hAnsi="Calibri"/>
            <w:color w:val="2E74B5"/>
            <w:u w:val="single"/>
          </w:rPr>
          <w:t>Anthropic model selection</w:t>
        </w:r>
      </w:hyperlink>
      <w:r>
        <w:rPr>
          <w:rFonts w:ascii="Calibri" w:hAnsi="Calibri"/>
          <w:color w:val="202B33"/>
          <w:sz w:val="21"/>
        </w:rPr>
        <w:t xml:space="preserve"> — use-case guidance for Haiku, Sonnet, Opus, and Fable. Accessed August 12, 2026.</w:t>
      </w:r>
    </w:p>
    <w:p>
      <w:pPr>
        <w:spacing w:before="80" w:after="200" w:line="288" w:lineRule="auto"/>
        <w:ind w:left="230" w:right="115"/>
        <w:shd w:fill="F4F7FA"/>
        <w:pBdr>
          <w:left w:val="single" w:sz="20" w:space="8" w:color="2E74B5"/>
        </w:pBdr>
      </w:pPr>
      <w:r>
        <w:rPr>
          <w:rFonts w:ascii="Calibri" w:hAnsi="Calibri"/>
          <w:b/>
          <w:color w:val="17324D"/>
          <w:sz w:val="21"/>
        </w:rPr>
        <w:t xml:space="preserve">KEEP THIS GUIDE CURRENT  </w:t>
      </w:r>
      <w:r>
        <w:rPr>
          <w:rFonts w:ascii="Calibri" w:hAnsi="Calibri"/>
          <w:color w:val="202B33"/>
          <w:sz w:val="21"/>
        </w:rPr>
        <w:t>Model names and prices change. Recheck the two official pricing pages before using this matrix for procurement, client pricing, or a high-volume production forecast.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6"/>
      </w:rPr>
      <w:t>AI PROJECT EFFORT · TOKEN &amp; COST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B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s.openai.com/api/docs/pricing" TargetMode="External"/><Relationship Id="rId12" Type="http://schemas.openxmlformats.org/officeDocument/2006/relationships/hyperlink" Target="https://developers.openai.com/api/docs/models" TargetMode="External"/><Relationship Id="rId13" Type="http://schemas.openxmlformats.org/officeDocument/2006/relationships/hyperlink" Target="https://platform.claude.com/docs/en/about-claude/pricing" TargetMode="External"/><Relationship Id="rId14" Type="http://schemas.openxmlformats.org/officeDocument/2006/relationships/hyperlink" Target="https://platform.claude.com/docs/en/about-claude/models/overview" TargetMode="External"/><Relationship Id="rId15" Type="http://schemas.openxmlformats.org/officeDocument/2006/relationships/hyperlink" Target="https://platform.claude.com/docs/en/about-claude/models/choosing-a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Project Effort, Token &amp; Cost Guide</dc:title>
  <dc:subject>Planning matrix for AI task token usage and API-equivalent cost</dc:subject>
  <dc:creator>IDEO</dc:creator>
  <cp:keywords>AI, tokens, cost, OpenAI, Anthropic, agents, coding, knowledge work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