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7D971" w14:textId="7A8CA982" w:rsidR="00AC265C" w:rsidRPr="00DB2A1B" w:rsidRDefault="00596D7C" w:rsidP="00596D7C">
      <w:pPr>
        <w:jc w:val="center"/>
        <w:rPr>
          <w:rFonts w:ascii="Cambria" w:hAnsi="Cambria"/>
          <w:b/>
          <w:bCs/>
          <w:u w:val="single"/>
          <w:lang w:val="en-US"/>
        </w:rPr>
      </w:pPr>
      <w:r w:rsidRPr="00DB2A1B">
        <w:rPr>
          <w:rFonts w:ascii="Cambria" w:hAnsi="Cambria"/>
          <w:b/>
          <w:bCs/>
          <w:u w:val="single"/>
          <w:lang w:val="en-US"/>
        </w:rPr>
        <w:t>LIŠENJE I VRAĆANJE POSLOVNE SPOSOBNOSTI</w:t>
      </w:r>
    </w:p>
    <w:p w14:paraId="014FE9CD" w14:textId="71C8FD77" w:rsidR="00DB2A1B" w:rsidRDefault="00DB2A1B" w:rsidP="00596D7C">
      <w:pPr>
        <w:jc w:val="center"/>
        <w:rPr>
          <w:rFonts w:ascii="Cambria" w:hAnsi="Cambria"/>
          <w:lang w:val="en-US"/>
        </w:rPr>
      </w:pPr>
    </w:p>
    <w:p w14:paraId="46B0AD93" w14:textId="41352BB7" w:rsidR="00DB2A1B" w:rsidRDefault="00DB2A1B" w:rsidP="00DB2A1B">
      <w:pPr>
        <w:jc w:val="both"/>
        <w:rPr>
          <w:rFonts w:ascii="Cambria" w:hAnsi="Cambria"/>
        </w:rPr>
      </w:pPr>
      <w:r w:rsidRPr="00DB2A1B">
        <w:rPr>
          <w:rFonts w:ascii="Cambria" w:hAnsi="Cambria"/>
        </w:rPr>
        <w:t>Šta je poslovna sposobnost i kako se stiče? Kako lišiti lice poslovne sposobnosti? Kako da vratim poslovnu sposobnost?</w:t>
      </w:r>
    </w:p>
    <w:p w14:paraId="2FDAE5B2" w14:textId="7BAAABD0" w:rsidR="00DB2A1B" w:rsidRDefault="00DB2A1B" w:rsidP="00DB2A1B">
      <w:pPr>
        <w:jc w:val="both"/>
        <w:rPr>
          <w:rFonts w:ascii="Cambria" w:hAnsi="Cambria"/>
        </w:rPr>
      </w:pPr>
    </w:p>
    <w:p w14:paraId="5D8E35B5" w14:textId="6E5A333E" w:rsidR="00DB2A1B" w:rsidRPr="00520C3D" w:rsidRDefault="00DB2A1B" w:rsidP="00DB2A1B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</w:rPr>
        <w:t xml:space="preserve">Poslovna sposobnost je </w:t>
      </w:r>
      <w:r w:rsidRPr="00DB2A1B">
        <w:rPr>
          <w:rFonts w:ascii="Cambria" w:hAnsi="Cambria"/>
        </w:rPr>
        <w:t xml:space="preserve">sposobnost samostalnog odlučivanja o pravima i obavezama. Potpuno poslovno sposobna osoba može sopstvenim izjavama volje da preuzima prava, prihvata obaveze i ulazi u različite pravne odnose. Poslovna sposobnost se u </w:t>
      </w:r>
      <w:r>
        <w:rPr>
          <w:rFonts w:ascii="Cambria" w:hAnsi="Cambria"/>
        </w:rPr>
        <w:t xml:space="preserve">Republici </w:t>
      </w:r>
      <w:r w:rsidRPr="00DB2A1B">
        <w:rPr>
          <w:rFonts w:ascii="Cambria" w:hAnsi="Cambria"/>
        </w:rPr>
        <w:t>Srbiji stiče punoletstvom</w:t>
      </w:r>
      <w:r>
        <w:rPr>
          <w:rFonts w:ascii="Cambria" w:hAnsi="Cambria"/>
        </w:rPr>
        <w:t>, odnosno kada lice napuni 18</w:t>
      </w:r>
      <w:r w:rsidR="001879B4">
        <w:rPr>
          <w:rFonts w:ascii="Cambria" w:hAnsi="Cambria"/>
        </w:rPr>
        <w:t>.</w:t>
      </w:r>
      <w:r>
        <w:rPr>
          <w:rFonts w:ascii="Cambria" w:hAnsi="Cambria"/>
        </w:rPr>
        <w:t xml:space="preserve"> godin</w:t>
      </w:r>
      <w:r w:rsidR="001879B4">
        <w:rPr>
          <w:rFonts w:ascii="Cambria" w:hAnsi="Cambria"/>
        </w:rPr>
        <w:t>u</w:t>
      </w:r>
      <w:r>
        <w:rPr>
          <w:rFonts w:ascii="Cambria" w:hAnsi="Cambria"/>
        </w:rPr>
        <w:t xml:space="preserve"> života</w:t>
      </w:r>
      <w:r w:rsidR="00520C3D">
        <w:rPr>
          <w:rFonts w:ascii="Cambria" w:hAnsi="Cambria"/>
        </w:rPr>
        <w:t xml:space="preserve"> i </w:t>
      </w:r>
      <w:r w:rsidR="00520C3D" w:rsidRPr="00520C3D">
        <w:rPr>
          <w:rFonts w:ascii="Cambria" w:hAnsi="Cambria" w:cs="Open Sans"/>
          <w:color w:val="333333"/>
          <w:shd w:val="clear" w:color="auto" w:fill="FFFFFF"/>
        </w:rPr>
        <w:t>sklapanjem braka pre punoletstva uz dozvolu suda</w:t>
      </w:r>
      <w:r w:rsidR="00520C3D">
        <w:rPr>
          <w:rFonts w:ascii="Cambria" w:hAnsi="Cambria" w:cs="Open Sans"/>
          <w:color w:val="333333"/>
          <w:shd w:val="clear" w:color="auto" w:fill="FFFFFF"/>
        </w:rPr>
        <w:t>.</w:t>
      </w:r>
    </w:p>
    <w:p w14:paraId="29D7294F" w14:textId="156CCEE2" w:rsidR="00DB2A1B" w:rsidRDefault="00520C3D" w:rsidP="00DB2A1B">
      <w:pPr>
        <w:jc w:val="both"/>
        <w:rPr>
          <w:rFonts w:ascii="Cambria" w:hAnsi="Cambria"/>
        </w:rPr>
      </w:pPr>
      <w:r>
        <w:rPr>
          <w:rFonts w:ascii="Cambria" w:hAnsi="Cambria"/>
        </w:rPr>
        <w:t>Maloletno lice koje je navršilo 16. godinu života može</w:t>
      </w:r>
      <w:r w:rsidR="00DB2A1B">
        <w:rPr>
          <w:rFonts w:ascii="Cambria" w:hAnsi="Cambria"/>
        </w:rPr>
        <w:t xml:space="preserve"> steći i ranije poslovnu sposobnost, odlukom suda </w:t>
      </w:r>
      <w:r>
        <w:rPr>
          <w:rFonts w:ascii="Cambria" w:hAnsi="Cambria"/>
        </w:rPr>
        <w:t>ukoliko je</w:t>
      </w:r>
      <w:r w:rsidRPr="00520C3D">
        <w:rPr>
          <w:rFonts w:ascii="Cambria" w:hAnsi="Cambria"/>
        </w:rPr>
        <w:t xml:space="preserve"> postalo roditelj i dostiglo je telesnu i duševnu zrelost potrebnu za samostalno staranje o sopstvenoj ličnosti, pravima i interesima.</w:t>
      </w:r>
    </w:p>
    <w:p w14:paraId="0A49633C" w14:textId="3C70B1F0" w:rsidR="001879B4" w:rsidRDefault="001879B4" w:rsidP="00DB2A1B">
      <w:pPr>
        <w:jc w:val="both"/>
        <w:rPr>
          <w:rFonts w:ascii="Cambria" w:hAnsi="Cambria"/>
        </w:rPr>
      </w:pPr>
    </w:p>
    <w:p w14:paraId="4A67266B" w14:textId="68891D09" w:rsidR="001879B4" w:rsidRDefault="001879B4" w:rsidP="001879B4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Lišenje </w:t>
      </w:r>
      <w:r w:rsidR="002A583C">
        <w:rPr>
          <w:rFonts w:ascii="Cambria" w:hAnsi="Cambria"/>
        </w:rPr>
        <w:t xml:space="preserve">i vraćanje </w:t>
      </w:r>
      <w:r>
        <w:rPr>
          <w:rFonts w:ascii="Cambria" w:hAnsi="Cambria"/>
        </w:rPr>
        <w:t>poslovne sposobnosti</w:t>
      </w:r>
    </w:p>
    <w:p w14:paraId="650FD39D" w14:textId="21FCA4CA" w:rsidR="001879B4" w:rsidRDefault="001879B4" w:rsidP="001879B4">
      <w:pPr>
        <w:jc w:val="both"/>
        <w:rPr>
          <w:rFonts w:ascii="Cambria" w:hAnsi="Cambria"/>
        </w:rPr>
      </w:pPr>
    </w:p>
    <w:p w14:paraId="79547A6C" w14:textId="23E1054A" w:rsidR="003A4937" w:rsidRDefault="002A583C" w:rsidP="001879B4">
      <w:pPr>
        <w:jc w:val="both"/>
        <w:rPr>
          <w:rFonts w:ascii="Cambria" w:hAnsi="Cambria"/>
        </w:rPr>
      </w:pPr>
      <w:r>
        <w:rPr>
          <w:rFonts w:ascii="Cambria" w:hAnsi="Cambria"/>
        </w:rPr>
        <w:t>Poslovna sposobnost lišava se u hitnom, vanparničnom postupku u kom sud ispituje da li su se stekli uslovi za lišenje poslovne sposobnosti punoletnog lica, odlučuje o meri lišenja poslovne sposobnosti (delimično lišenje ili potpuno lišenje), određuje vreme za koje će se proveriti da li postoje razlozi za dalje trajanje izrečene mere (maksimalno 3 godine) i odlučuje o vraćanju poslovne sposobnosti kada prestanu razlozi za lišenje poslovne sposobnosti.</w:t>
      </w:r>
    </w:p>
    <w:p w14:paraId="72568927" w14:textId="1C055E14" w:rsidR="003A4937" w:rsidRDefault="003A4937" w:rsidP="001879B4">
      <w:pPr>
        <w:jc w:val="both"/>
        <w:rPr>
          <w:rFonts w:ascii="Cambria" w:hAnsi="Cambria"/>
        </w:rPr>
      </w:pPr>
      <w:r w:rsidRPr="003A4937">
        <w:rPr>
          <w:rFonts w:ascii="Cambria" w:hAnsi="Cambria"/>
        </w:rPr>
        <w:t>U postupku lišenja poslovne sposobnosti sud ispituje da li je punoletno lice prema stepenu sposobnosti za normalno rasuđivanje u stanju da se samo brine o svojim pravima i interesima. Sud odlučuje o lišavanju poslovne sposobnosti, kada utvrdi da za to postoje zakonom određeni razlozi</w:t>
      </w:r>
      <w:r w:rsidR="00076C4B">
        <w:rPr>
          <w:rFonts w:ascii="Cambria" w:hAnsi="Cambria"/>
        </w:rPr>
        <w:t>.</w:t>
      </w:r>
    </w:p>
    <w:p w14:paraId="14F6D72C" w14:textId="1C3D88D3" w:rsidR="00076C4B" w:rsidRDefault="00076C4B" w:rsidP="001879B4">
      <w:pPr>
        <w:jc w:val="both"/>
        <w:rPr>
          <w:rFonts w:ascii="Cambria" w:hAnsi="Cambria"/>
        </w:rPr>
      </w:pPr>
      <w:r>
        <w:rPr>
          <w:rFonts w:ascii="Cambria" w:hAnsi="Cambria"/>
        </w:rPr>
        <w:t>Postupak za lišenje pokreće:</w:t>
      </w:r>
    </w:p>
    <w:p w14:paraId="607A79D5" w14:textId="65568C0A" w:rsidR="00076C4B" w:rsidRDefault="00076C4B" w:rsidP="00076C4B">
      <w:pPr>
        <w:pStyle w:val="ListParagraph"/>
        <w:numPr>
          <w:ilvl w:val="0"/>
          <w:numId w:val="2"/>
        </w:numPr>
        <w:jc w:val="both"/>
        <w:rPr>
          <w:rFonts w:ascii="Cambria" w:hAnsi="Cambria"/>
        </w:rPr>
      </w:pPr>
      <w:r>
        <w:rPr>
          <w:rFonts w:ascii="Cambria" w:hAnsi="Cambria"/>
        </w:rPr>
        <w:t>Sud po službenoj dužnosti, a nakon isteka roka u kom je potrebno proveriti da li postoje razlozi za dalje trajanje izrečene mere;</w:t>
      </w:r>
    </w:p>
    <w:p w14:paraId="44473865" w14:textId="17C198AD" w:rsidR="00076C4B" w:rsidRDefault="00076C4B" w:rsidP="00076C4B">
      <w:pPr>
        <w:pStyle w:val="ListParagraph"/>
        <w:numPr>
          <w:ilvl w:val="0"/>
          <w:numId w:val="2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Predlogom za pokretanje vanparničnog postupka pokreću organ starateljstva, supružnik, vanbračni partner, dete, roditelj lica koje treba lišiti poslovne sposobnosti, kao i po predlogu </w:t>
      </w:r>
      <w:r w:rsidRPr="00076C4B">
        <w:rPr>
          <w:rFonts w:ascii="Cambria" w:hAnsi="Cambria"/>
        </w:rPr>
        <w:t>dede, babe, brata, sestre, kao i unuka, ako sa tim licem žive u porodičnoj zajednici</w:t>
      </w:r>
      <w:r>
        <w:rPr>
          <w:rFonts w:ascii="Cambria" w:hAnsi="Cambria"/>
        </w:rPr>
        <w:t>;</w:t>
      </w:r>
    </w:p>
    <w:p w14:paraId="4A3E82A4" w14:textId="0525A433" w:rsidR="00076C4B" w:rsidRDefault="00076C4B" w:rsidP="00076C4B">
      <w:pPr>
        <w:pStyle w:val="ListParagraph"/>
        <w:numPr>
          <w:ilvl w:val="0"/>
          <w:numId w:val="2"/>
        </w:numPr>
        <w:jc w:val="both"/>
        <w:rPr>
          <w:rFonts w:ascii="Cambria" w:hAnsi="Cambria"/>
        </w:rPr>
      </w:pPr>
      <w:r w:rsidRPr="00076C4B">
        <w:rPr>
          <w:rFonts w:ascii="Cambria" w:hAnsi="Cambria"/>
        </w:rPr>
        <w:t>Predlog za pokretanje postupka može da stavi i samo lice koje treba lišiti poslovne sposobnosti, ako može da shvati značenje i pravne posledice svog predloga</w:t>
      </w:r>
      <w:r>
        <w:rPr>
          <w:rFonts w:ascii="Cambria" w:hAnsi="Cambria"/>
        </w:rPr>
        <w:t>;</w:t>
      </w:r>
    </w:p>
    <w:p w14:paraId="1018E93C" w14:textId="290A3C6D" w:rsidR="00076C4B" w:rsidRDefault="00076C4B" w:rsidP="00076C4B">
      <w:pPr>
        <w:jc w:val="both"/>
        <w:rPr>
          <w:rFonts w:ascii="Cambria" w:hAnsi="Cambria"/>
        </w:rPr>
      </w:pPr>
    </w:p>
    <w:p w14:paraId="08BCEBC8" w14:textId="027525D5" w:rsidR="00076C4B" w:rsidRDefault="00076C4B" w:rsidP="00076C4B">
      <w:pPr>
        <w:jc w:val="both"/>
        <w:rPr>
          <w:rFonts w:ascii="Cambria" w:hAnsi="Cambria"/>
        </w:rPr>
      </w:pPr>
      <w:r>
        <w:rPr>
          <w:rFonts w:ascii="Cambria" w:hAnsi="Cambria"/>
        </w:rPr>
        <w:t>Po pokretanju postupka, sud bez odlaganja obaveštava:</w:t>
      </w:r>
    </w:p>
    <w:p w14:paraId="63390BE2" w14:textId="657E5E97" w:rsidR="00076C4B" w:rsidRDefault="00076C4B" w:rsidP="00076C4B">
      <w:pPr>
        <w:pStyle w:val="ListParagraph"/>
        <w:numPr>
          <w:ilvl w:val="0"/>
          <w:numId w:val="2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Službu za katastar nepokretnosti Republičkog geodetskog zavoda (u slučaju da lice koje je obuhvaćeno predlogom ima nepokretne imovine) i </w:t>
      </w:r>
    </w:p>
    <w:p w14:paraId="3BFFBB72" w14:textId="70504909" w:rsidR="00076C4B" w:rsidRDefault="00076C4B" w:rsidP="00076C4B">
      <w:pPr>
        <w:pStyle w:val="ListParagraph"/>
        <w:numPr>
          <w:ilvl w:val="0"/>
          <w:numId w:val="2"/>
        </w:numPr>
        <w:jc w:val="both"/>
        <w:rPr>
          <w:rFonts w:ascii="Cambria" w:hAnsi="Cambria"/>
        </w:rPr>
      </w:pPr>
      <w:r>
        <w:rPr>
          <w:rFonts w:ascii="Cambria" w:hAnsi="Cambria"/>
        </w:rPr>
        <w:t>Matičara.</w:t>
      </w:r>
    </w:p>
    <w:p w14:paraId="44D9ECE8" w14:textId="1A4A2C67" w:rsidR="002A583C" w:rsidRDefault="00076C4B" w:rsidP="001879B4">
      <w:pPr>
        <w:jc w:val="both"/>
        <w:rPr>
          <w:rFonts w:ascii="Cambria" w:hAnsi="Cambria"/>
        </w:rPr>
      </w:pPr>
      <w:r>
        <w:rPr>
          <w:rFonts w:ascii="Cambria" w:hAnsi="Cambria"/>
        </w:rPr>
        <w:lastRenderedPageBreak/>
        <w:t>Oba organa su dužna upisati u odgovarajući registar zabeležbu postupka, a sve kako lice koje je obuhvaćeno predlogom ne bi slobodno raspolagalo svojom imovinom ili npr. zaključilo brak.</w:t>
      </w:r>
    </w:p>
    <w:p w14:paraId="2A961A06" w14:textId="77777777" w:rsidR="003C15AC" w:rsidRDefault="003C15AC" w:rsidP="001879B4">
      <w:pPr>
        <w:jc w:val="both"/>
        <w:rPr>
          <w:rFonts w:ascii="Cambria" w:hAnsi="Cambria"/>
        </w:rPr>
      </w:pPr>
    </w:p>
    <w:p w14:paraId="63E1F3C2" w14:textId="1E7F2E0D" w:rsidR="002A583C" w:rsidRPr="003C15AC" w:rsidRDefault="002A583C" w:rsidP="003C15AC">
      <w:pPr>
        <w:pStyle w:val="clan"/>
        <w:shd w:val="clear" w:color="auto" w:fill="FFFFFF"/>
        <w:spacing w:before="240" w:beforeAutospacing="0" w:after="120" w:afterAutospacing="0"/>
        <w:jc w:val="both"/>
        <w:rPr>
          <w:rFonts w:ascii="Cambria" w:hAnsi="Cambria" w:cs="Open Sans"/>
          <w:b/>
          <w:bCs/>
          <w:color w:val="333333"/>
        </w:rPr>
      </w:pPr>
      <w:bookmarkStart w:id="0" w:name="clan_32"/>
      <w:bookmarkStart w:id="1" w:name="clan_33"/>
      <w:bookmarkStart w:id="2" w:name="clan_34"/>
      <w:bookmarkStart w:id="3" w:name="clan_35"/>
      <w:bookmarkStart w:id="4" w:name="clan_38"/>
      <w:bookmarkEnd w:id="0"/>
      <w:bookmarkEnd w:id="1"/>
      <w:bookmarkEnd w:id="2"/>
      <w:bookmarkEnd w:id="3"/>
      <w:bookmarkEnd w:id="4"/>
      <w:r w:rsidRPr="003C15AC">
        <w:rPr>
          <w:rFonts w:ascii="Cambria" w:hAnsi="Cambria" w:cs="Open Sans"/>
          <w:color w:val="333333"/>
          <w:sz w:val="22"/>
          <w:szCs w:val="22"/>
        </w:rPr>
        <w:t xml:space="preserve">Lice prema kome se postupak za lišenje poslovne sposobnosti vodi mora biti pregledano od najmanje dva </w:t>
      </w:r>
      <w:r w:rsidR="003C15AC" w:rsidRPr="003C15AC">
        <w:rPr>
          <w:rFonts w:ascii="Cambria" w:hAnsi="Cambria" w:cs="Open Sans"/>
          <w:color w:val="333333"/>
          <w:sz w:val="22"/>
          <w:szCs w:val="22"/>
        </w:rPr>
        <w:t>ledara</w:t>
      </w:r>
      <w:r w:rsidRPr="003C15AC">
        <w:rPr>
          <w:rFonts w:ascii="Cambria" w:hAnsi="Cambria" w:cs="Open Sans"/>
          <w:color w:val="333333"/>
          <w:sz w:val="22"/>
          <w:szCs w:val="22"/>
        </w:rPr>
        <w:t xml:space="preserve"> odgovarajuće specijalnosti, koji će dati nalaz i mišljenje o stanju mentalnog zdravlja i sposobnosti tog lica za rasuđivanje.</w:t>
      </w:r>
    </w:p>
    <w:p w14:paraId="3E806133" w14:textId="365646B3" w:rsidR="002A583C" w:rsidRPr="003C15AC" w:rsidRDefault="002A583C" w:rsidP="003C15AC">
      <w:pPr>
        <w:pStyle w:val="normal0"/>
        <w:shd w:val="clear" w:color="auto" w:fill="FFFFFF"/>
        <w:spacing w:before="0" w:beforeAutospacing="0" w:after="150" w:afterAutospacing="0"/>
        <w:jc w:val="both"/>
        <w:rPr>
          <w:rFonts w:ascii="Cambria" w:hAnsi="Cambria" w:cs="Open Sans"/>
          <w:color w:val="333333"/>
          <w:sz w:val="22"/>
          <w:szCs w:val="22"/>
        </w:rPr>
      </w:pPr>
      <w:r w:rsidRPr="003C15AC">
        <w:rPr>
          <w:rFonts w:ascii="Cambria" w:hAnsi="Cambria" w:cs="Open Sans"/>
          <w:color w:val="333333"/>
          <w:sz w:val="22"/>
          <w:szCs w:val="22"/>
        </w:rPr>
        <w:t>Sud može rešenjem odrediti da lice prema kome se vodi postupak, privremeno ali najduže 30 dana, bude smešteno u odgovarajuću zdravstvenu ustanovu</w:t>
      </w:r>
      <w:r w:rsidR="003C15AC">
        <w:rPr>
          <w:rFonts w:ascii="Cambria" w:hAnsi="Cambria" w:cs="Open Sans"/>
          <w:color w:val="333333"/>
          <w:sz w:val="22"/>
          <w:szCs w:val="22"/>
        </w:rPr>
        <w:t xml:space="preserve"> </w:t>
      </w:r>
      <w:r w:rsidRPr="003C15AC">
        <w:rPr>
          <w:rFonts w:ascii="Cambria" w:hAnsi="Cambria" w:cs="Open Sans"/>
          <w:color w:val="333333"/>
          <w:sz w:val="22"/>
          <w:szCs w:val="22"/>
        </w:rPr>
        <w:t>da se utvrdi stanje njegovog mentalnog zdravlja</w:t>
      </w:r>
      <w:r w:rsidR="003C15AC">
        <w:rPr>
          <w:rFonts w:ascii="Cambria" w:hAnsi="Cambria" w:cs="Open Sans"/>
          <w:color w:val="333333"/>
          <w:sz w:val="22"/>
          <w:szCs w:val="22"/>
        </w:rPr>
        <w:t>.</w:t>
      </w:r>
    </w:p>
    <w:p w14:paraId="3A38787F" w14:textId="2EF4A63E" w:rsidR="002A583C" w:rsidRPr="003C15AC" w:rsidRDefault="002A583C" w:rsidP="003C15AC">
      <w:pPr>
        <w:pStyle w:val="normal0"/>
        <w:shd w:val="clear" w:color="auto" w:fill="FFFFFF"/>
        <w:spacing w:before="0" w:beforeAutospacing="0" w:after="150" w:afterAutospacing="0"/>
        <w:jc w:val="both"/>
        <w:rPr>
          <w:rFonts w:ascii="Cambria" w:hAnsi="Cambria" w:cs="Open Sans"/>
          <w:color w:val="333333"/>
          <w:sz w:val="22"/>
          <w:szCs w:val="22"/>
        </w:rPr>
      </w:pPr>
      <w:bookmarkStart w:id="5" w:name="clan_39"/>
      <w:bookmarkStart w:id="6" w:name="clan_40"/>
      <w:bookmarkEnd w:id="5"/>
      <w:bookmarkEnd w:id="6"/>
      <w:r w:rsidRPr="003C15AC">
        <w:rPr>
          <w:rFonts w:ascii="Cambria" w:hAnsi="Cambria" w:cs="Open Sans"/>
          <w:color w:val="333333"/>
          <w:sz w:val="22"/>
          <w:szCs w:val="22"/>
        </w:rPr>
        <w:t xml:space="preserve">Kad nađe da postoje uslovi za lišenje poslovne sposobnosti, sud će lice prema kome se postupak vodi lišiti poslovne sposobnosti </w:t>
      </w:r>
      <w:r w:rsidRPr="003C15AC">
        <w:rPr>
          <w:rFonts w:ascii="Cambria" w:hAnsi="Cambria" w:cs="Open Sans"/>
          <w:b/>
          <w:bCs/>
          <w:color w:val="333333"/>
          <w:sz w:val="22"/>
          <w:szCs w:val="22"/>
        </w:rPr>
        <w:t>potpuno</w:t>
      </w:r>
      <w:r w:rsidRPr="003C15AC">
        <w:rPr>
          <w:rFonts w:ascii="Cambria" w:hAnsi="Cambria" w:cs="Open Sans"/>
          <w:color w:val="333333"/>
          <w:sz w:val="22"/>
          <w:szCs w:val="22"/>
        </w:rPr>
        <w:t xml:space="preserve"> ili </w:t>
      </w:r>
      <w:r w:rsidRPr="003C15AC">
        <w:rPr>
          <w:rFonts w:ascii="Cambria" w:hAnsi="Cambria" w:cs="Open Sans"/>
          <w:b/>
          <w:bCs/>
          <w:color w:val="333333"/>
          <w:sz w:val="22"/>
          <w:szCs w:val="22"/>
        </w:rPr>
        <w:t>delimično</w:t>
      </w:r>
      <w:r w:rsidRPr="003C15AC">
        <w:rPr>
          <w:rFonts w:ascii="Cambria" w:hAnsi="Cambria" w:cs="Open Sans"/>
          <w:color w:val="333333"/>
          <w:sz w:val="22"/>
          <w:szCs w:val="22"/>
        </w:rPr>
        <w:t>.</w:t>
      </w:r>
    </w:p>
    <w:p w14:paraId="237361DA" w14:textId="10166186" w:rsidR="002A583C" w:rsidRDefault="002A583C" w:rsidP="003C15AC">
      <w:pPr>
        <w:pStyle w:val="normal0"/>
        <w:shd w:val="clear" w:color="auto" w:fill="FFFFFF"/>
        <w:spacing w:before="0" w:beforeAutospacing="0" w:after="150" w:afterAutospacing="0"/>
        <w:jc w:val="both"/>
        <w:rPr>
          <w:rFonts w:ascii="Cambria" w:hAnsi="Cambria" w:cs="Open Sans"/>
          <w:color w:val="333333"/>
          <w:sz w:val="22"/>
          <w:szCs w:val="22"/>
        </w:rPr>
      </w:pPr>
      <w:r w:rsidRPr="003C15AC">
        <w:rPr>
          <w:rFonts w:ascii="Cambria" w:hAnsi="Cambria" w:cs="Open Sans"/>
          <w:color w:val="333333"/>
          <w:sz w:val="22"/>
          <w:szCs w:val="22"/>
        </w:rPr>
        <w:t>U rešenju kojim je odlučio o lišenju poslovne sposobnosti sud određuje rok u kome će se proveriti da li postoje razlozi za dalje trajanje izrečene mere, a koji ne može biti duži od tri godine.</w:t>
      </w:r>
    </w:p>
    <w:p w14:paraId="6AD81EFE" w14:textId="6402D9BA" w:rsidR="003C15AC" w:rsidRPr="003C15AC" w:rsidRDefault="003C15AC" w:rsidP="003C15AC">
      <w:pPr>
        <w:pStyle w:val="normal0"/>
        <w:shd w:val="clear" w:color="auto" w:fill="FFFFFF"/>
        <w:spacing w:before="0" w:beforeAutospacing="0" w:after="150" w:afterAutospacing="0"/>
        <w:jc w:val="both"/>
        <w:rPr>
          <w:rFonts w:ascii="Cambria" w:hAnsi="Cambria" w:cs="Open Sans"/>
          <w:color w:val="333333"/>
          <w:sz w:val="22"/>
          <w:szCs w:val="22"/>
        </w:rPr>
      </w:pPr>
      <w:r>
        <w:rPr>
          <w:rFonts w:ascii="Cambria" w:hAnsi="Cambria" w:cs="Open Sans"/>
          <w:color w:val="333333"/>
          <w:sz w:val="22"/>
          <w:szCs w:val="22"/>
        </w:rPr>
        <w:t>U slučaju delimičnog lišenja poslovne sposobnosti, u rešenju kojim se lice lišava, sud će navesti delokrug poslova koje lice delimično lišene poslovne sposobnosti može samostalno da preuzima.</w:t>
      </w:r>
    </w:p>
    <w:p w14:paraId="5CB44BE3" w14:textId="5C67B0CD" w:rsidR="003C15AC" w:rsidRDefault="003C15AC" w:rsidP="002A583C">
      <w:pPr>
        <w:pStyle w:val="normal0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19"/>
          <w:szCs w:val="19"/>
        </w:rPr>
      </w:pPr>
      <w:bookmarkStart w:id="7" w:name="clan_40a"/>
      <w:bookmarkStart w:id="8" w:name="clan_41"/>
      <w:bookmarkEnd w:id="7"/>
      <w:bookmarkEnd w:id="8"/>
    </w:p>
    <w:p w14:paraId="0255D3AE" w14:textId="3CC8C70E" w:rsidR="002A583C" w:rsidRPr="000559AB" w:rsidRDefault="003C15AC" w:rsidP="000559AB">
      <w:pPr>
        <w:pStyle w:val="normal0"/>
        <w:shd w:val="clear" w:color="auto" w:fill="FFFFFF"/>
        <w:spacing w:before="0" w:beforeAutospacing="0" w:after="150" w:afterAutospacing="0"/>
        <w:jc w:val="both"/>
        <w:rPr>
          <w:rFonts w:ascii="Cambria" w:hAnsi="Cambria" w:cs="Open Sans"/>
          <w:color w:val="333333"/>
          <w:sz w:val="22"/>
          <w:szCs w:val="22"/>
        </w:rPr>
      </w:pPr>
      <w:r w:rsidRPr="000559AB">
        <w:rPr>
          <w:rFonts w:ascii="Cambria" w:hAnsi="Cambria" w:cs="Open Sans"/>
          <w:color w:val="333333"/>
          <w:sz w:val="22"/>
          <w:szCs w:val="22"/>
        </w:rPr>
        <w:t xml:space="preserve">Delimično se lice može lišiti poslovne sposobnosti zbog zloupotrebe alkohola ili drugih opojnih sredstava. U slučaju pozitivne procene suda, da </w:t>
      </w:r>
      <w:r w:rsidR="000559AB" w:rsidRPr="000559AB">
        <w:rPr>
          <w:rFonts w:ascii="Cambria" w:hAnsi="Cambria" w:cs="Open Sans"/>
          <w:color w:val="333333"/>
          <w:sz w:val="22"/>
          <w:szCs w:val="22"/>
        </w:rPr>
        <w:t xml:space="preserve">će </w:t>
      </w:r>
      <w:r w:rsidRPr="000559AB">
        <w:rPr>
          <w:rFonts w:ascii="Cambria" w:hAnsi="Cambria" w:cs="Open Sans"/>
          <w:color w:val="333333"/>
          <w:sz w:val="22"/>
          <w:szCs w:val="22"/>
        </w:rPr>
        <w:t>se lice koje treba biti delimično lišeno poslovne sposobnosti</w:t>
      </w:r>
      <w:r w:rsidR="000559AB" w:rsidRPr="000559AB">
        <w:rPr>
          <w:rFonts w:ascii="Cambria" w:hAnsi="Cambria" w:cs="Open Sans"/>
          <w:color w:val="333333"/>
          <w:sz w:val="22"/>
          <w:szCs w:val="22"/>
        </w:rPr>
        <w:t xml:space="preserve"> uzdržavati od alkohola ili drugih opojnih sredstava, sud će odložiti donošenje rešenja </w:t>
      </w:r>
      <w:r w:rsidR="002A583C" w:rsidRPr="000559AB">
        <w:rPr>
          <w:rFonts w:ascii="Cambria" w:hAnsi="Cambria" w:cs="Open Sans"/>
          <w:color w:val="333333"/>
          <w:sz w:val="22"/>
          <w:szCs w:val="22"/>
        </w:rPr>
        <w:t>ako se to lice po svojoj inicijativi ili po predlogu suda podvrgne lečenju u određenoj zdravstvenoj ustanovi.</w:t>
      </w:r>
    </w:p>
    <w:p w14:paraId="007167FD" w14:textId="7B6AD9C7" w:rsidR="002A583C" w:rsidRDefault="002A583C" w:rsidP="000559AB">
      <w:pPr>
        <w:pStyle w:val="normal0"/>
        <w:shd w:val="clear" w:color="auto" w:fill="FFFFFF"/>
        <w:spacing w:before="0" w:beforeAutospacing="0" w:after="150" w:afterAutospacing="0"/>
        <w:jc w:val="both"/>
        <w:rPr>
          <w:rFonts w:ascii="Cambria" w:hAnsi="Cambria" w:cs="Open Sans"/>
          <w:color w:val="333333"/>
          <w:sz w:val="22"/>
          <w:szCs w:val="22"/>
        </w:rPr>
      </w:pPr>
      <w:bookmarkStart w:id="9" w:name="clan_42"/>
      <w:bookmarkEnd w:id="9"/>
      <w:r w:rsidRPr="000559AB">
        <w:rPr>
          <w:rFonts w:ascii="Cambria" w:hAnsi="Cambria" w:cs="Open Sans"/>
          <w:color w:val="333333"/>
          <w:sz w:val="22"/>
          <w:szCs w:val="22"/>
        </w:rPr>
        <w:t>Kada istekne vreme proveravanja, sud po službenoj dužnosti ispituje da li i dalje postoje razlozi zbog kojih je lice lišeno poslovne sposobnosti.Ako utvrdi da i dalje postoje razlozi za lišenje poslovne sposobnosti sud donosi rešenje kojim utvrđuje da ne postoje uslovi za vraćanje poslovne sposobnosti.</w:t>
      </w:r>
      <w:r w:rsidR="000559AB" w:rsidRPr="000559AB">
        <w:rPr>
          <w:rFonts w:ascii="Cambria" w:hAnsi="Cambria" w:cs="Open Sans"/>
          <w:color w:val="333333"/>
          <w:sz w:val="22"/>
          <w:szCs w:val="22"/>
        </w:rPr>
        <w:t xml:space="preserve"> </w:t>
      </w:r>
      <w:r w:rsidRPr="000559AB">
        <w:rPr>
          <w:rFonts w:ascii="Cambria" w:hAnsi="Cambria" w:cs="Open Sans"/>
          <w:color w:val="333333"/>
          <w:sz w:val="22"/>
          <w:szCs w:val="22"/>
        </w:rPr>
        <w:t>Ako utvrdi da su prestali razlozi zbog kojih je lice lišeno poslovne sposobnosti, sud donosi rešenje o vraćanju poslovne sposobnosti.</w:t>
      </w:r>
    </w:p>
    <w:p w14:paraId="4D319D88" w14:textId="77777777" w:rsidR="000559AB" w:rsidRPr="000559AB" w:rsidRDefault="000559AB" w:rsidP="000559AB">
      <w:pPr>
        <w:pStyle w:val="normal0"/>
        <w:shd w:val="clear" w:color="auto" w:fill="FFFFFF"/>
        <w:spacing w:before="0" w:beforeAutospacing="0" w:after="150" w:afterAutospacing="0"/>
        <w:jc w:val="both"/>
        <w:rPr>
          <w:rFonts w:ascii="Cambria" w:hAnsi="Cambria" w:cs="Open Sans"/>
          <w:color w:val="333333"/>
          <w:sz w:val="22"/>
          <w:szCs w:val="22"/>
        </w:rPr>
      </w:pPr>
    </w:p>
    <w:p w14:paraId="1A069C57" w14:textId="5E16608B" w:rsidR="002A583C" w:rsidRPr="000559AB" w:rsidRDefault="002A583C" w:rsidP="002A583C">
      <w:pPr>
        <w:pStyle w:val="normal0"/>
        <w:shd w:val="clear" w:color="auto" w:fill="FFFFFF"/>
        <w:spacing w:before="0" w:beforeAutospacing="0" w:after="150" w:afterAutospacing="0"/>
        <w:rPr>
          <w:rFonts w:ascii="Cambria" w:hAnsi="Cambria" w:cs="Open Sans"/>
          <w:color w:val="333333"/>
          <w:sz w:val="22"/>
          <w:szCs w:val="22"/>
        </w:rPr>
      </w:pPr>
      <w:bookmarkStart w:id="10" w:name="clan_42a"/>
      <w:bookmarkEnd w:id="10"/>
      <w:r w:rsidRPr="000559AB">
        <w:rPr>
          <w:rFonts w:ascii="Cambria" w:hAnsi="Cambria" w:cs="Open Sans"/>
          <w:color w:val="333333"/>
          <w:sz w:val="22"/>
          <w:szCs w:val="22"/>
        </w:rPr>
        <w:t>Sud po službenoj dužnosti ili na predlog organa starateljstva donosi rešenje o vraćanju poslovne sposobnosti pre nego što istekne vreme proveravanja</w:t>
      </w:r>
      <w:r w:rsidR="000559AB" w:rsidRPr="000559AB">
        <w:rPr>
          <w:rFonts w:ascii="Cambria" w:hAnsi="Cambria" w:cs="Open Sans"/>
          <w:color w:val="333333"/>
          <w:sz w:val="22"/>
          <w:szCs w:val="22"/>
        </w:rPr>
        <w:t>,</w:t>
      </w:r>
      <w:r w:rsidRPr="000559AB">
        <w:rPr>
          <w:rFonts w:ascii="Cambria" w:hAnsi="Cambria" w:cs="Open Sans"/>
          <w:color w:val="333333"/>
          <w:sz w:val="22"/>
          <w:szCs w:val="22"/>
        </w:rPr>
        <w:t xml:space="preserve"> ako utvrdi da više ne postoje razlozi zbog kojih je lice lišeno poslovne sposobnosti.</w:t>
      </w:r>
    </w:p>
    <w:p w14:paraId="0B2643AA" w14:textId="0375362A" w:rsidR="002A583C" w:rsidRDefault="002A583C" w:rsidP="001879B4">
      <w:pPr>
        <w:jc w:val="both"/>
        <w:rPr>
          <w:rFonts w:ascii="Cambria" w:hAnsi="Cambria"/>
        </w:rPr>
      </w:pPr>
      <w:bookmarkStart w:id="11" w:name="clan_43"/>
      <w:bookmarkStart w:id="12" w:name="clan_44"/>
      <w:bookmarkEnd w:id="11"/>
      <w:bookmarkEnd w:id="12"/>
    </w:p>
    <w:p w14:paraId="42AB8EDF" w14:textId="7A2AB38F" w:rsidR="000559AB" w:rsidRPr="001879B4" w:rsidRDefault="000559AB" w:rsidP="001879B4">
      <w:pPr>
        <w:jc w:val="both"/>
        <w:rPr>
          <w:rFonts w:ascii="Cambria" w:hAnsi="Cambria"/>
        </w:rPr>
      </w:pPr>
      <w:r>
        <w:rPr>
          <w:rFonts w:ascii="Cambria" w:hAnsi="Cambria"/>
        </w:rPr>
        <w:t>Advokat Predrag Zarić</w:t>
      </w:r>
    </w:p>
    <w:sectPr w:rsidR="000559AB" w:rsidRPr="001879B4" w:rsidSect="002B5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61DE0"/>
    <w:multiLevelType w:val="hybridMultilevel"/>
    <w:tmpl w:val="D6DAF10E"/>
    <w:lvl w:ilvl="0" w:tplc="23BAE10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56470"/>
    <w:multiLevelType w:val="hybridMultilevel"/>
    <w:tmpl w:val="EDFED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2667495">
    <w:abstractNumId w:val="1"/>
  </w:num>
  <w:num w:numId="2" w16cid:durableId="1885097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D7C"/>
    <w:rsid w:val="000559AB"/>
    <w:rsid w:val="00076C4B"/>
    <w:rsid w:val="001879B4"/>
    <w:rsid w:val="002A583C"/>
    <w:rsid w:val="002B5B3D"/>
    <w:rsid w:val="003A4937"/>
    <w:rsid w:val="003C15AC"/>
    <w:rsid w:val="00520C3D"/>
    <w:rsid w:val="00596D7C"/>
    <w:rsid w:val="00AC265C"/>
    <w:rsid w:val="00DB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C46BE"/>
  <w15:chartTrackingRefBased/>
  <w15:docId w15:val="{BDB56018-FB72-4ADF-8757-37576E6CA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9B4"/>
    <w:pPr>
      <w:ind w:left="720"/>
      <w:contextualSpacing/>
    </w:pPr>
  </w:style>
  <w:style w:type="paragraph" w:customStyle="1" w:styleId="normal0">
    <w:name w:val="normal"/>
    <w:basedOn w:val="Normal"/>
    <w:rsid w:val="002A5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hr-HR" w:eastAsia="hr-HR"/>
    </w:rPr>
  </w:style>
  <w:style w:type="paragraph" w:customStyle="1" w:styleId="clan">
    <w:name w:val="clan"/>
    <w:basedOn w:val="Normal"/>
    <w:rsid w:val="002A5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hr-HR"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Predrag Zarić</dc:creator>
  <cp:keywords/>
  <dc:description/>
  <cp:lastModifiedBy>Predrag Zarić</cp:lastModifiedBy>
  <cp:revision>5</cp:revision>
  <dcterms:created xsi:type="dcterms:W3CDTF">2022-11-22T11:48:00Z</dcterms:created>
  <dcterms:modified xsi:type="dcterms:W3CDTF">2022-11-22T13:05:00Z</dcterms:modified>
</cp:coreProperties>
</file>