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line="288" w:lineRule="auto"/>
        <w:ind w:firstLine="0" w:left="0"/>
        <w:jc w:val="center"/>
      </w:pPr>
      <w:r>
        <w:rPr>
          <w:rFonts w:ascii="Times New Roman" w:hAnsi="Times New Roman" w:eastAsia="SimSun"/>
          <w:b/>
          <w:sz w:val="32"/>
        </w:rPr>
        <w:t>DEEP LEARNING FOR COMPUTER VISION: A COMPREHENSIVE SURVEY</w:t>
      </w:r>
    </w:p>
    <w:p>
      <w:pPr>
        <w:spacing w:before="120" w:after="120" w:line="240" w:lineRule="auto"/>
        <w:ind w:firstLine="0" w:left="0"/>
        <w:jc w:val="center"/>
      </w:pPr>
      <w:r>
        <w:rPr>
          <w:rFonts w:ascii="Times New Roman" w:hAnsi="Times New Roman" w:eastAsia="SimSun"/>
          <w:b w:val="0"/>
          <w:sz w:val="22"/>
        </w:rPr>
        <w:t>San Zhang^1</w:t>
      </w:r>
    </w:p>
    <w:p>
      <w:pPr>
        <w:spacing w:before="120" w:after="120" w:line="240" w:lineRule="auto"/>
        <w:ind w:firstLine="0" w:left="0"/>
        <w:jc w:val="center"/>
      </w:pPr>
      <w:r>
        <w:rPr>
          <w:rFonts w:ascii="Times New Roman" w:hAnsi="Times New Roman" w:eastAsia="SimSun"/>
          <w:b w:val="0"/>
          <w:sz w:val="22"/>
        </w:rPr>
        <w:t>Si Li^2</w:t>
      </w:r>
    </w:p>
    <w:p>
      <w:pPr>
        <w:spacing w:before="120" w:after="120" w:line="240" w:lineRule="auto"/>
        <w:ind w:firstLine="0" w:left="0"/>
        <w:jc w:val="center"/>
      </w:pPr>
      <w:r>
        <w:rPr>
          <w:rFonts w:ascii="Times New Roman" w:hAnsi="Times New Roman" w:eastAsia="SimSun"/>
          <w:b w:val="0"/>
          <w:sz w:val="22"/>
        </w:rPr>
        <w:t>Ming Wang^1</w:t>
      </w:r>
    </w:p>
    <w:p>
      <w:pPr>
        <w:spacing w:before="120" w:after="120" w:line="240" w:lineRule="auto"/>
        <w:ind w:firstLine="0" w:left="0"/>
        <w:jc w:val="center"/>
      </w:pPr>
      <w:r>
        <w:rPr>
          <w:rFonts w:ascii="Times New Roman" w:hAnsi="Times New Roman" w:eastAsia="SimSun"/>
          <w:b w:val="0"/>
          <w:sz w:val="22"/>
        </w:rPr>
        <w:t>Lin Chen^3</w:t>
      </w:r>
    </w:p>
    <w:p>
      <w:pPr>
        <w:spacing w:before="0" w:after="240" w:line="240" w:lineRule="auto"/>
        <w:ind w:firstLine="0" w:left="0"/>
        <w:jc w:val="center"/>
      </w:pPr>
      <w:r>
        <w:rPr>
          <w:rFonts w:ascii="Times New Roman" w:hAnsi="Times New Roman" w:eastAsia="SimSun"/>
          <w:i/>
          <w:sz w:val="18"/>
        </w:rPr>
        <w:t>1. School of Computer Science, Peking University, Beijing 100871, China</w:t>
      </w:r>
    </w:p>
    <w:p>
      <w:pPr>
        <w:spacing w:before="0" w:after="240" w:line="240" w:lineRule="auto"/>
        <w:ind w:firstLine="0" w:left="0"/>
        <w:jc w:val="center"/>
      </w:pPr>
      <w:r>
        <w:rPr>
          <w:rFonts w:ascii="Times New Roman" w:hAnsi="Times New Roman" w:eastAsia="SimSun"/>
          <w:i/>
          <w:sz w:val="18"/>
        </w:rPr>
        <w:t>2. Institute of Computing Technology, Chinese Academy of Sciences, Beijing 100190, China</w:t>
      </w:r>
    </w:p>
    <w:p>
      <w:pPr>
        <w:spacing w:before="0" w:after="240" w:line="240" w:lineRule="auto"/>
        <w:ind w:firstLine="0" w:left="0"/>
        <w:jc w:val="center"/>
      </w:pPr>
      <w:r>
        <w:rPr>
          <w:rFonts w:ascii="Times New Roman" w:hAnsi="Times New Roman" w:eastAsia="SimSun"/>
          <w:i/>
          <w:sz w:val="18"/>
        </w:rPr>
        <w:t>3. Department of Computer Science, Stanford University, Stanford 94305, USA</w:t>
      </w:r>
    </w:p>
    <w:p>
      <w:pPr>
        <w:spacing w:before="120" w:after="60"/>
        <w:ind w:firstLine="0" w:left="0"/>
        <w:jc w:val="left"/>
      </w:pPr>
      <w:r>
        <w:rPr>
          <w:rFonts w:ascii="Times New Roman" w:hAnsi="Times New Roman" w:eastAsia="SimSun"/>
          <w:b/>
          <w:sz w:val="20"/>
        </w:rPr>
        <w:t>Abstract</w:t>
      </w:r>
    </w:p>
    <w:p>
      <w:pPr>
        <w:spacing w:before="0" w:after="240" w:line="276" w:lineRule="auto"/>
        <w:ind w:firstLine="0" w:left="0"/>
        <w:jc w:val="left"/>
      </w:pPr>
      <w:r>
        <w:rPr>
          <w:rFonts w:ascii="Times New Roman" w:hAnsi="Times New Roman" w:eastAsia="SimSun"/>
          <w:i w:val="0"/>
          <w:sz w:val="18"/>
        </w:rPr>
        <w:t>Deep learning has revolutionized the field of computer vision, enabling unprecedented advances in image classification, object detection, semantic segmentation, and visual recognition tasks. This survey provides a comprehensive overview of deep learning methods for computer vision, focusing on convolutional neural networks (CNNs), recurrent architectures, and transformer-based models. We review the evolution of network architectures from LeNet to Vision Transformers, discuss training techniques including data augmentation and regularization, and analyze the strengths and limitations of current approaches. Finally, we identify promising future research directions including self-supervised learning, neural architecture search, and efficient inference on resource-constrained devices.</w:t>
      </w:r>
    </w:p>
    <w:p>
      <w:pPr>
        <w:spacing w:before="0" w:after="60"/>
        <w:ind w:firstLine="0" w:left="0"/>
        <w:jc w:val="left"/>
      </w:pPr>
      <w:r>
        <w:rPr>
          <w:rFonts w:ascii="Times New Roman" w:hAnsi="Times New Roman" w:eastAsia="SimSun"/>
          <w:b/>
          <w:sz w:val="18"/>
        </w:rPr>
        <w:t>Keywords</w:t>
      </w:r>
    </w:p>
    <w:p>
      <w:pPr>
        <w:spacing w:before="0" w:after="480" w:line="240" w:lineRule="auto"/>
        <w:ind w:firstLine="0" w:left="0"/>
        <w:jc w:val="left"/>
      </w:pPr>
      <w:r>
        <w:rPr>
          <w:rFonts w:ascii="Times New Roman" w:hAnsi="Times New Roman" w:eastAsia="SimSun"/>
          <w:sz w:val="18"/>
        </w:rPr>
        <w:t>deep learning; computer vision; convolutional neural networks; image classification; object detection; semantic segmentation; Vision Transformer; attention mechanism</w:t>
      </w:r>
    </w:p>
    <w:p>
      <w:pPr>
        <w:sectPr>
          <w:pgSz w:w="11906" w:h="16838"/>
          <w:pgMar w:top="1474" w:right="839" w:bottom="765" w:left="839" w:header="720" w:footer="720" w:gutter="0"/>
          <w:cols w:num="1" w:equalWidth="1"/>
          <w:docGrid w:linePitch="360"/>
          <w:vAlign w:val="top"/>
        </w:sectPr>
      </w:pPr>
    </w:p>
    <w:p>
      <w:pPr>
        <w:spacing w:before="360" w:after="120" w:line="240" w:lineRule="auto"/>
        <w:ind w:firstLine="0" w:left="0"/>
        <w:jc w:val="left"/>
      </w:pPr>
      <w:r>
        <w:rPr>
          <w:rFonts w:ascii="Times New Roman" w:hAnsi="Times New Roman" w:eastAsia="SimSun"/>
          <w:b/>
          <w:sz w:val="24"/>
        </w:rPr>
        <w:t>1. Introduction</w:t>
      </w:r>
    </w:p>
    <w:p>
      <w:pPr>
        <w:spacing w:before="0" w:after="0" w:line="276" w:lineRule="auto"/>
        <w:ind w:firstLine="420" w:left="0"/>
        <w:jc w:val="both"/>
      </w:pPr>
      <w:r>
        <w:rPr>
          <w:rFonts w:ascii="Times New Roman" w:hAnsi="Times New Roman" w:eastAsia="SimSun"/>
          <w:sz w:val="20"/>
        </w:rPr>
        <w:t>Computer vision is one of the most active research areas in artificial intelligence, aiming to enable machines to understand and interpret visual information from the real world. In recent years, deep learning, particularly convolutional neural networks, has emerged as a powerful paradigm for solving various computer vision tasks, achieving human-level performance in many benchmark datasets.</w:t>
      </w:r>
    </w:p>
    <w:p>
      <w:pPr>
        <w:spacing w:before="0" w:after="0" w:line="276" w:lineRule="auto"/>
        <w:ind w:firstLine="420" w:left="0"/>
        <w:jc w:val="both"/>
      </w:pPr>
      <w:r>
        <w:rPr>
          <w:rFonts w:ascii="Times New Roman" w:hAnsi="Times New Roman" w:eastAsia="SimSun"/>
          <w:sz w:val="20"/>
        </w:rPr>
        <w:t>The history of neural networks for vision dates back to the 1980s with the introduction of Neocognitron and LeNet. However, the true breakthrough came in 2012 when AlexNet won the ImageNet competition by a large margin, demonstrating the superiority of deep convolutional networks over traditional computer vision methods.</w:t>
      </w:r>
    </w:p>
    <w:p>
      <w:pPr>
        <w:spacing w:before="0" w:after="0" w:line="276" w:lineRule="auto"/>
        <w:ind w:firstLine="420" w:left="0"/>
        <w:jc w:val="both"/>
      </w:pPr>
      <w:r>
        <w:rPr>
          <w:rFonts w:ascii="Times New Roman" w:hAnsi="Times New Roman" w:eastAsia="SimSun"/>
          <w:sz w:val="20"/>
        </w:rPr>
        <w:t>Since then, the field has progressed rapidly. Networks have become deeper and more complex, from VGGNet's simple yet effective architecture to ResNet's revolutionary skip connections. More recently, Vision Transformers (ViT) have challenged CNNs' dominance by applying the transformer architecture, originally designed for natural language processing, to image recognition tasks.</w:t>
      </w:r>
    </w:p>
    <w:p>
      <w:pPr>
        <w:spacing w:before="0" w:after="0" w:line="276" w:lineRule="auto"/>
        <w:ind w:firstLine="420" w:left="0"/>
        <w:jc w:val="both"/>
      </w:pPr>
      <w:r>
        <w:rPr>
          <w:rFonts w:ascii="Times New Roman" w:hAnsi="Times New Roman" w:eastAsia="SimSun"/>
          <w:sz w:val="20"/>
        </w:rPr>
        <w:t>The impact of these advances extends far beyond academic research. Modern computer vision systems power applications ranging from autonomous vehicles and medical imaging to social media filters and augmented reality. The democratization of these technologies through pre-trained models and open-source frameworks has accelerated innovation across industries.</w:t>
      </w:r>
    </w:p>
    <w:p>
      <w:pPr>
        <w:spacing w:before="360" w:after="120" w:line="240" w:lineRule="auto"/>
        <w:ind w:firstLine="0" w:left="0"/>
        <w:jc w:val="left"/>
      </w:pPr>
      <w:r>
        <w:rPr>
          <w:rFonts w:ascii="Times New Roman" w:hAnsi="Times New Roman" w:eastAsia="SimSun"/>
          <w:b/>
          <w:sz w:val="24"/>
        </w:rPr>
        <w:t>2. Fundamental Architectures</w:t>
      </w:r>
    </w:p>
    <w:p>
      <w:pPr>
        <w:spacing w:before="240" w:after="60" w:line="240" w:lineRule="auto"/>
        <w:ind w:firstLine="0" w:left="0"/>
        <w:jc w:val="left"/>
      </w:pPr>
      <w:r>
        <w:rPr>
          <w:rFonts w:ascii="Times New Roman" w:hAnsi="Times New Roman" w:eastAsia="SimSun"/>
          <w:b/>
          <w:sz w:val="22"/>
        </w:rPr>
        <w:t>2.1 Convolutional Neural Networks</w:t>
      </w:r>
    </w:p>
    <w:p>
      <w:pPr>
        <w:spacing w:before="0" w:after="0" w:line="276" w:lineRule="auto"/>
        <w:ind w:firstLine="420" w:left="0"/>
        <w:jc w:val="both"/>
      </w:pPr>
      <w:r>
        <w:rPr>
          <w:rFonts w:ascii="Times New Roman" w:hAnsi="Times New Roman" w:eastAsia="SimSun"/>
          <w:sz w:val="20"/>
        </w:rPr>
        <w:t>Convolutional Neural Networks (CNNs) are specifically designed for processing structured grid data such as images. The key operations include convolution, pooling, and non-linear activation.</w:t>
      </w:r>
    </w:p>
    <w:p>
      <w:pPr>
        <w:spacing w:before="0" w:after="0" w:line="276" w:lineRule="auto"/>
        <w:ind w:firstLine="420" w:left="0"/>
        <w:jc w:val="both"/>
      </w:pPr>
      <w:r>
        <w:rPr>
          <w:rFonts w:ascii="Times New Roman" w:hAnsi="Times New Roman" w:eastAsia="SimSun"/>
          <w:sz w:val="20"/>
        </w:rPr>
        <w:t>The convolution operation can be formulated as:</w:t>
      </w:r>
    </w:p>
    <w:p>
      <w:pPr>
        <w:spacing w:before="120" w:after="120" w:line="360" w:lineRule="auto"/>
        <w:ind w:firstLine="0" w:left="0"/>
        <w:jc w:val="center"/>
      </w:pPr>
      <m:oMathPara>
        <m:oMath>
          <m:r>
            <m:t>y(i,j) = </m:t>
          </m:r>
          <m:sSub>
            <m:e>
              <m:r>
                <m:t>∑</m:t>
              </m:r>
            </m:e>
            <m:sub>
              <m:r>
                <m:t>m</m:t>
              </m:r>
            </m:sub>
          </m:sSub>
          <m:sSub>
            <m:e>
              <m:r>
                <m:t>∑</m:t>
              </m:r>
            </m:e>
            <m:sub>
              <m:r>
                <m:t>n</m:t>
              </m:r>
            </m:sub>
          </m:sSub>
          <m:r>
            <m:t> x(i+m, j+n) </m:t>
          </m:r>
          <m:r>
            <m:t>·</m:t>
          </m:r>
          <m:r>
            <m:t> k(m,n)</m:t>
          </m:r>
        </m:oMath>
      </m:oMathPara>
      <w:r>
        <w:tab/>
      </w:r>
      <w:r>
        <w:t>(1)</w:t>
      </w:r>
    </w:p>
    <w:p>
      <w:pPr>
        <w:spacing w:before="0" w:after="0" w:line="276" w:lineRule="auto"/>
        <w:ind w:firstLine="420" w:left="0"/>
        <w:jc w:val="both"/>
      </w:pPr>
      <w:r>
        <w:rPr>
          <w:rFonts w:ascii="Times New Roman" w:hAnsi="Times New Roman" w:eastAsia="SimSun"/>
          <w:sz w:val="20"/>
        </w:rPr>
        <w:t xml:space="preserve">where </w:t>
      </w:r>
      <m:oMath>
        <m:r>
          <m:t>x</m:t>
        </m:r>
      </m:oMath>
      <w:r>
        <w:rPr>
          <w:rFonts w:ascii="Times New Roman" w:hAnsi="Times New Roman" w:eastAsia="SimSun"/>
          <w:sz w:val="20"/>
        </w:rPr>
        <w:t xml:space="preserve"> is the input feature map, </w:t>
      </w:r>
      <m:oMath>
        <m:r>
          <m:t>k</m:t>
        </m:r>
      </m:oMath>
      <w:r>
        <w:rPr>
          <w:rFonts w:ascii="Times New Roman" w:hAnsi="Times New Roman" w:eastAsia="SimSun"/>
          <w:sz w:val="20"/>
        </w:rPr>
        <w:t xml:space="preserve"> is the convolution kernel, and </w:t>
      </w:r>
      <m:oMath>
        <m:r>
          <m:t>y</m:t>
        </m:r>
      </m:oMath>
      <w:r>
        <w:rPr>
          <w:rFonts w:ascii="Times New Roman" w:hAnsi="Times New Roman" w:eastAsia="SimSun"/>
          <w:sz w:val="20"/>
        </w:rPr>
        <w:t xml:space="preserve"> is the output feature map. The kernel </w:t>
      </w:r>
      <m:oMath>
        <m:r>
          <m:t>k</m:t>
        </m:r>
      </m:oMath>
      <w:r>
        <w:rPr>
          <w:rFonts w:ascii="Times New Roman" w:hAnsi="Times New Roman" w:eastAsia="SimSun"/>
          <w:sz w:val="20"/>
        </w:rPr>
        <w:t xml:space="preserve"> slides across the input, computing dot products at each position.</w:t>
      </w:r>
    </w:p>
    <w:p>
      <w:pPr>
        <w:spacing w:before="0" w:after="0" w:line="276" w:lineRule="auto"/>
        <w:ind w:firstLine="420" w:left="0"/>
        <w:jc w:val="both"/>
      </w:pPr>
      <w:r>
        <w:rPr>
          <w:rFonts w:ascii="Times New Roman" w:hAnsi="Times New Roman" w:eastAsia="SimSun"/>
          <w:sz w:val="20"/>
        </w:rPr>
        <w:t>The Rectified Linear Unit (ReLU) activation is defined as:</w:t>
      </w:r>
    </w:p>
    <w:p>
      <w:pPr>
        <w:spacing w:before="120" w:after="120" w:line="360" w:lineRule="auto"/>
        <w:ind w:firstLine="0" w:left="0"/>
        <w:jc w:val="center"/>
      </w:pPr>
      <m:oMathPara>
        <m:oMath>
          <m:r>
            <m:t>f(x) = </m:t>
          </m:r>
          <m:r>
            <m:t>(0, x)</m:t>
          </m:r>
        </m:oMath>
      </m:oMathPara>
      <w:r>
        <w:tab/>
      </w:r>
      <w:r>
        <w:t>(2)</w:t>
      </w:r>
    </w:p>
    <w:p>
      <w:pPr>
        <w:spacing w:before="0" w:after="0" w:line="276" w:lineRule="auto"/>
        <w:ind w:firstLine="420" w:left="0"/>
        <w:jc w:val="both"/>
      </w:pPr>
      <w:r>
        <w:rPr>
          <w:rFonts w:ascii="Times New Roman" w:hAnsi="Times New Roman" w:eastAsia="SimSun"/>
          <w:sz w:val="20"/>
        </w:rPr>
        <w:t>Modern CNN architectures typically consist of several types of layers:</w:t>
      </w:r>
    </w:p>
    <w:p>
      <w:pPr>
        <w:spacing w:before="0" w:after="0" w:line="276" w:lineRule="auto"/>
        <w:ind w:hanging="420" w:left="420"/>
        <w:jc w:val="both"/>
      </w:pPr>
      <w:r>
        <w:rPr>
          <w:rFonts w:ascii="Times New Roman" w:hAnsi="Times New Roman" w:eastAsia="SimSun"/>
          <w:sz w:val="20"/>
        </w:rPr>
        <w:t xml:space="preserve">- </w:t>
      </w:r>
      <w:r>
        <w:rPr>
          <w:rFonts w:ascii="Times New Roman" w:hAnsi="Times New Roman" w:eastAsia="SimSun"/>
          <w:b/>
          <w:sz w:val="20"/>
        </w:rPr>
        <w:t>Convolutional layers</w:t>
      </w:r>
      <w:r>
        <w:rPr>
          <w:rFonts w:ascii="Times New Roman" w:hAnsi="Times New Roman" w:eastAsia="SimSun"/>
          <w:sz w:val="20"/>
        </w:rPr>
        <w:t>: Apply learnable filters to detect features at different spatial locations</w:t>
      </w:r>
    </w:p>
    <w:p>
      <w:pPr>
        <w:spacing w:before="0" w:after="0" w:line="276" w:lineRule="auto"/>
        <w:ind w:hanging="420" w:left="420"/>
        <w:jc w:val="both"/>
      </w:pPr>
      <w:r>
        <w:rPr>
          <w:rFonts w:ascii="Times New Roman" w:hAnsi="Times New Roman" w:eastAsia="SimSun"/>
          <w:sz w:val="20"/>
        </w:rPr>
        <w:t xml:space="preserve">- </w:t>
      </w:r>
      <w:r>
        <w:rPr>
          <w:rFonts w:ascii="Times New Roman" w:hAnsi="Times New Roman" w:eastAsia="SimSun"/>
          <w:b/>
          <w:sz w:val="20"/>
        </w:rPr>
        <w:t>Pooling layers</w:t>
      </w:r>
      <w:r>
        <w:rPr>
          <w:rFonts w:ascii="Times New Roman" w:hAnsi="Times New Roman" w:eastAsia="SimSun"/>
          <w:sz w:val="20"/>
        </w:rPr>
        <w:t>: Reduce spatial dimensions via subsampling, providing translation invariance</w:t>
      </w:r>
    </w:p>
    <w:p>
      <w:pPr>
        <w:spacing w:before="0" w:after="0" w:line="276" w:lineRule="auto"/>
        <w:ind w:hanging="420" w:left="420"/>
        <w:jc w:val="both"/>
      </w:pPr>
      <w:r>
        <w:rPr>
          <w:rFonts w:ascii="Times New Roman" w:hAnsi="Times New Roman" w:eastAsia="SimSun"/>
          <w:sz w:val="20"/>
        </w:rPr>
        <w:t xml:space="preserve">- </w:t>
      </w:r>
      <w:r>
        <w:rPr>
          <w:rFonts w:ascii="Times New Roman" w:hAnsi="Times New Roman" w:eastAsia="SimSun"/>
          <w:b/>
          <w:sz w:val="20"/>
        </w:rPr>
        <w:t>Fully connected layers</w:t>
      </w:r>
      <w:r>
        <w:rPr>
          <w:rFonts w:ascii="Times New Roman" w:hAnsi="Times New Roman" w:eastAsia="SimSun"/>
          <w:sz w:val="20"/>
        </w:rPr>
        <w:t>: Connect all neurons for classification or regression tasks</w:t>
      </w:r>
    </w:p>
    <w:p>
      <w:pPr>
        <w:spacing w:before="0" w:after="0" w:line="276" w:lineRule="auto"/>
        <w:ind w:hanging="420" w:left="420"/>
        <w:jc w:val="both"/>
      </w:pPr>
      <w:r>
        <w:rPr>
          <w:rFonts w:ascii="Times New Roman" w:hAnsi="Times New Roman" w:eastAsia="SimSun"/>
          <w:sz w:val="20"/>
        </w:rPr>
        <w:t xml:space="preserve">- </w:t>
      </w:r>
      <w:r>
        <w:rPr>
          <w:rFonts w:ascii="Times New Roman" w:hAnsi="Times New Roman" w:eastAsia="SimSun"/>
          <w:b/>
          <w:sz w:val="20"/>
        </w:rPr>
        <w:t>Batch normalization</w:t>
      </w:r>
      <w:r>
        <w:rPr>
          <w:rFonts w:ascii="Times New Roman" w:hAnsi="Times New Roman" w:eastAsia="SimSun"/>
          <w:sz w:val="20"/>
        </w:rPr>
        <w:t>: Normalize activations to stabilize training</w:t>
      </w:r>
    </w:p>
    <w:p>
      <w:pPr>
        <w:spacing w:before="240" w:after="60" w:line="240" w:lineRule="auto"/>
        <w:ind w:firstLine="0" w:left="0"/>
        <w:jc w:val="left"/>
      </w:pPr>
      <w:r>
        <w:rPr>
          <w:rFonts w:ascii="Times New Roman" w:hAnsi="Times New Roman" w:eastAsia="SimSun"/>
          <w:b/>
          <w:sz w:val="22"/>
        </w:rPr>
        <w:t>2.2 Vision Transformers</w:t>
      </w:r>
    </w:p>
    <w:p>
      <w:pPr>
        <w:spacing w:before="0" w:after="0" w:line="276" w:lineRule="auto"/>
        <w:ind w:firstLine="420" w:left="0"/>
        <w:jc w:val="both"/>
      </w:pPr>
      <w:r>
        <w:rPr>
          <w:rFonts w:ascii="Times New Roman" w:hAnsi="Times New Roman" w:eastAsia="SimSun"/>
          <w:sz w:val="20"/>
        </w:rPr>
        <w:t>Vision Transformers (ViT) have recently emerged as an alternative to CNNs for image classification. The key idea is to treat images as sequences of patches and apply transformer architecture.</w:t>
      </w:r>
    </w:p>
    <w:p>
      <w:pPr>
        <w:spacing w:before="0" w:after="0" w:line="276" w:lineRule="auto"/>
        <w:ind w:firstLine="420" w:left="0"/>
        <w:jc w:val="both"/>
      </w:pPr>
      <w:r>
        <w:rPr>
          <w:rFonts w:ascii="Times New Roman" w:hAnsi="Times New Roman" w:eastAsia="SimSun"/>
          <w:sz w:val="20"/>
        </w:rPr>
        <w:t>As illustrated in Figure 1, the input image is first divided into fixed-size patches (e.g., 16×16 pixels). Each patch is then linearly embedded, and positional embeddings are added to preserve spatial information. The resulting sequence of vectors is processed by a standard Transformer encoder.</w:t>
      </w:r>
    </w:p>
    <w:p>
      <w:pPr>
        <w:jc w:val="center"/>
      </w:pPr>
      <w:r>
        <w:drawing>
          <wp:inline xmlns:a="http://schemas.openxmlformats.org/drawingml/2006/main" xmlns:pic="http://schemas.openxmlformats.org/drawingml/2006/picture">
            <wp:extent cx="2952000" cy="146109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052560" cy="4480560"/>
                    </a:xfrm>
                    <a:prstGeom prst="rect"/>
                  </pic:spPr>
                </pic:pic>
              </a:graphicData>
            </a:graphic>
          </wp:inline>
        </w:drawing>
      </w:r>
    </w:p>
    <w:p>
      <w:pPr>
        <w:spacing w:before="60" w:after="240" w:line="240" w:lineRule="auto"/>
        <w:ind w:firstLine="0" w:left="0"/>
        <w:jc w:val="center"/>
      </w:pPr>
      <w:r>
        <w:rPr>
          <w:rFonts w:ascii="Times New Roman" w:hAnsi="Times New Roman" w:eastAsia="SimSun"/>
          <w:i/>
          <w:sz w:val="18"/>
        </w:rPr>
        <w:t>Fig.1: Figure 1: Vision Transformer (ViT) architecture. The input image is split into fixed-size patches</w:t>
      </w:r>
    </w:p>
    <w:p>
      <w:pPr>
        <w:spacing w:before="0" w:after="0" w:line="276" w:lineRule="auto"/>
        <w:ind w:firstLine="420" w:left="0"/>
        <w:jc w:val="both"/>
      </w:pPr>
      <w:r>
        <w:rPr>
          <w:rFonts w:ascii="Times New Roman" w:hAnsi="Times New Roman" w:eastAsia="SimSun"/>
          <w:sz w:val="20"/>
        </w:rPr>
        <w:t>The self-attention mechanism allows the model to capture global dependencies across the entire image, regardless of spatial distance. This is formulated as:</w:t>
      </w:r>
    </w:p>
    <w:p>
      <w:pPr>
        <w:spacing w:before="120" w:after="120" w:line="360" w:lineRule="auto"/>
        <w:ind w:firstLine="0" w:left="0"/>
        <w:jc w:val="center"/>
      </w:pPr>
      <m:oMathPara>
        <m:oMath>
          <m:r>
            <m:t>Attention</m:t>
          </m:r>
          <m:r>
            <m:t>(Q, K, V) = </m:t>
          </m:r>
          <m:r>
            <m:t>softmax</m:t>
          </m:r>
          <m:r>
            <m:t>(</m:t>
          </m:r>
          <m:r>
            <m:t>(</m:t>
          </m:r>
          <m:f>
            <m:fPr>
              <m:fType m:val="bar"/>
            </m:fPr>
            <m:num>
              <m:sSup>
                <m:e>
                  <m:r>
                    <m:t>QK</m:t>
                  </m:r>
                </m:e>
                <m:sup>
                  <m:r>
                    <m:t>T</m:t>
                  </m:r>
                </m:sup>
              </m:sSup>
            </m:num>
            <m:den>
              <m:rad>
                <m:radPr>
                  <m:degHide m:val="1"/>
                </m:radPr>
                <m:deg/>
                <m:e>
                  <m:sSub>
                    <m:e>
                      <m:r>
                        <m:t>d</m:t>
                      </m:r>
                    </m:e>
                    <m:sub>
                      <m:r>
                        <m:t>k</m:t>
                      </m:r>
                    </m:sub>
                  </m:sSub>
                </m:e>
              </m:rad>
            </m:den>
          </m:f>
          <m:r>
            <m:t>)</m:t>
          </m:r>
          <m:r>
            <m:t>)V</m:t>
          </m:r>
        </m:oMath>
      </m:oMathPara>
      <w:r>
        <w:tab/>
      </w:r>
      <w:r>
        <w:t>(3)</w:t>
      </w:r>
    </w:p>
    <w:p>
      <w:pPr>
        <w:spacing w:before="0" w:after="0" w:line="276" w:lineRule="auto"/>
        <w:ind w:firstLine="420" w:left="0"/>
        <w:jc w:val="both"/>
      </w:pPr>
      <w:r>
        <w:rPr>
          <w:rFonts w:ascii="Times New Roman" w:hAnsi="Times New Roman" w:eastAsia="SimSun"/>
          <w:sz w:val="20"/>
        </w:rPr>
        <w:t xml:space="preserve">where </w:t>
      </w:r>
      <m:oMath>
        <m:r>
          <m:t>Q</m:t>
        </m:r>
      </m:oMath>
      <w:r>
        <w:rPr>
          <w:rFonts w:ascii="Times New Roman" w:hAnsi="Times New Roman" w:eastAsia="SimSun"/>
          <w:sz w:val="20"/>
        </w:rPr>
        <w:t xml:space="preserve"> (queries), </w:t>
      </w:r>
      <m:oMath>
        <m:r>
          <m:t>K</m:t>
        </m:r>
      </m:oMath>
      <w:r>
        <w:rPr>
          <w:rFonts w:ascii="Times New Roman" w:hAnsi="Times New Roman" w:eastAsia="SimSun"/>
          <w:sz w:val="20"/>
        </w:rPr>
        <w:t xml:space="preserve"> (keys), and </w:t>
      </w:r>
      <m:oMath>
        <m:r>
          <m:t>V</m:t>
        </m:r>
      </m:oMath>
      <w:r>
        <w:rPr>
          <w:rFonts w:ascii="Times New Roman" w:hAnsi="Times New Roman" w:eastAsia="SimSun"/>
          <w:sz w:val="20"/>
        </w:rPr>
        <w:t xml:space="preserve"> (values) are linear projections of the input embeddings, and </w:t>
      </w:r>
      <m:oMath>
        <m:sSub>
          <m:e>
            <m:r>
              <m:t>d</m:t>
            </m:r>
          </m:e>
          <m:sub>
            <m:r>
              <m:t>k</m:t>
            </m:r>
          </m:sub>
        </m:sSub>
      </m:oMath>
      <w:r>
        <w:rPr>
          <w:rFonts w:ascii="Times New Roman" w:hAnsi="Times New Roman" w:eastAsia="SimSun"/>
          <w:sz w:val="20"/>
        </w:rPr>
        <w:t xml:space="preserve"> is the dimensionality of the keys.</w:t>
      </w:r>
    </w:p>
    <w:p>
      <w:pPr>
        <w:spacing w:before="240" w:after="60" w:line="240" w:lineRule="auto"/>
        <w:ind w:firstLine="0" w:left="0"/>
        <w:jc w:val="left"/>
      </w:pPr>
      <w:r>
        <w:rPr>
          <w:rFonts w:ascii="Times New Roman" w:hAnsi="Times New Roman" w:eastAsia="SimSun"/>
          <w:b/>
          <w:sz w:val="22"/>
        </w:rPr>
        <w:t>2.3 Hybrid Architectures</w:t>
      </w:r>
    </w:p>
    <w:p>
      <w:pPr>
        <w:spacing w:before="0" w:after="0" w:line="276" w:lineRule="auto"/>
        <w:ind w:firstLine="420" w:left="0"/>
        <w:jc w:val="both"/>
      </w:pPr>
      <w:r>
        <w:rPr>
          <w:rFonts w:ascii="Times New Roman" w:hAnsi="Times New Roman" w:eastAsia="SimSun"/>
          <w:sz w:val="20"/>
        </w:rPr>
        <w:t>Hybrid models combine CNNs and Transformers to leverage the strengths of both approaches. CNNs excel at extracting local features, while Transformers capture long-range dependencies. A representative example is:</w:t>
      </w:r>
    </w:p>
    <w:p>
      <w:pPr>
        <w:spacing w:before="120" w:after="120" w:line="360" w:lineRule="auto"/>
        <w:ind w:firstLine="0" w:left="0"/>
        <w:jc w:val="center"/>
      </w:pPr>
      <m:oMathPara>
        <m:oMath>
          <m:sSub>
            <m:e>
              <m:r>
                <m:t>z</m:t>
              </m:r>
            </m:e>
            <m:sub>
              <m:r>
                <m:t>l</m:t>
              </m:r>
            </m:sub>
          </m:sSub>
          <m:r>
            <m:t> = </m:t>
          </m:r>
          <m:r>
            <m:t>MLP</m:t>
          </m:r>
          <m:r>
            <m:t>(</m:t>
          </m:r>
          <m:r>
            <m:t>LayerNorm</m:t>
          </m:r>
          <m:sSub>
            <m:e>
              <m:r>
                <m:t>(z</m:t>
              </m:r>
            </m:e>
            <m:sub>
              <m:r>
                <m:t>l-1</m:t>
              </m:r>
            </m:sub>
          </m:sSub>
          <m:r>
            <m:t> + </m:t>
          </m:r>
          <m:r>
            <m:t>Attention</m:t>
          </m:r>
          <m:sSub>
            <m:e>
              <m:r>
                <m:t>(z</m:t>
              </m:r>
            </m:e>
            <m:sub>
              <m:r>
                <m:t>l-1</m:t>
              </m:r>
            </m:sub>
          </m:sSub>
          <m:r>
            <m:t>)))</m:t>
          </m:r>
        </m:oMath>
      </m:oMathPara>
      <w:r>
        <w:tab/>
      </w:r>
      <w:r>
        <w:t>(4)</w:t>
      </w:r>
    </w:p>
    <w:p>
      <w:pPr>
        <w:spacing w:before="0" w:after="0" w:line="276" w:lineRule="auto"/>
        <w:ind w:firstLine="420" w:left="0"/>
        <w:jc w:val="both"/>
      </w:pPr>
      <w:r>
        <w:rPr>
          <w:rFonts w:ascii="Times New Roman" w:hAnsi="Times New Roman" w:eastAsia="SimSun"/>
          <w:sz w:val="20"/>
        </w:rPr>
        <w:t xml:space="preserve">where the input </w:t>
      </w:r>
      <m:oMath>
        <m:sSub>
          <m:e>
            <m:r>
              <m:t>z</m:t>
            </m:r>
          </m:e>
          <m:sub>
            <m:r>
              <m:t>0</m:t>
            </m:r>
          </m:sub>
        </m:sSub>
      </m:oMath>
      <w:r>
        <w:rPr>
          <w:rFonts w:ascii="Times New Roman" w:hAnsi="Times New Roman" w:eastAsia="SimSun"/>
          <w:sz w:val="20"/>
        </w:rPr>
        <w:t xml:space="preserve"> is extracted CNN features rather than raw patch embeddings.</w:t>
      </w:r>
    </w:p>
    <w:p>
      <w:pPr>
        <w:spacing w:before="360" w:after="120" w:line="240" w:lineRule="auto"/>
        <w:ind w:firstLine="0" w:left="0"/>
        <w:jc w:val="left"/>
      </w:pPr>
      <w:r>
        <w:rPr>
          <w:rFonts w:ascii="Times New Roman" w:hAnsi="Times New Roman" w:eastAsia="SimSun"/>
          <w:b/>
          <w:sz w:val="24"/>
        </w:rPr>
        <w:t>3. Training Techniques</w:t>
      </w:r>
    </w:p>
    <w:p>
      <w:pPr>
        <w:spacing w:before="240" w:after="60" w:line="240" w:lineRule="auto"/>
        <w:ind w:firstLine="0" w:left="0"/>
        <w:jc w:val="left"/>
      </w:pPr>
      <w:r>
        <w:rPr>
          <w:rFonts w:ascii="Times New Roman" w:hAnsi="Times New Roman" w:eastAsia="SimSun"/>
          <w:b/>
          <w:sz w:val="22"/>
        </w:rPr>
        <w:t>3.1 Data Augmentation</w:t>
      </w:r>
    </w:p>
    <w:p>
      <w:pPr>
        <w:spacing w:before="0" w:after="0" w:line="276" w:lineRule="auto"/>
        <w:ind w:firstLine="420" w:left="0"/>
        <w:jc w:val="both"/>
      </w:pPr>
      <w:r>
        <w:rPr>
          <w:rFonts w:ascii="Times New Roman" w:hAnsi="Times New Roman" w:eastAsia="SimSun"/>
          <w:sz w:val="20"/>
        </w:rPr>
        <w:t>Data augmentation is crucial for training deep networks, especially when labeled data is limited. Common techniques include:</w:t>
      </w:r>
    </w:p>
    <w:tbl>
      <w:tblPr>
        <w:tblW w:type="auto" w:w="0"/>
        <w:tblLook w:firstColumn="1" w:firstRow="1" w:lastColumn="0" w:lastRow="0" w:noHBand="0" w:noVBand="1" w:val="04A0"/>
        <w:tblBorders>
          <w:top w:val="single" w:sz="24" w:space="0" w:color="000000"/>
          <w:bottom w:val="single" w:sz="24" w:space="0" w:color="000000"/>
          <w:insideH w:val="nil"/>
          <w:insideV w:val="nil"/>
        </w:tblBorders>
      </w:tblPr>
      <w:tblGrid>
        <w:gridCol w:w="3409"/>
        <w:gridCol w:w="3409"/>
        <w:gridCol w:w="3409"/>
      </w:tblGrid>
      <w:tr>
        <w:tc>
          <w:tcPr>
            <w:tcW w:type="dxa" w:w="3409"/>
            <w:tcBorders>
              <w:bottom w:val="single" w:sz="12" w:space="0" w:color="000000"/>
            </w:tcBorders>
          </w:tcPr>
          <w:p>
            <w:pPr>
              <w:jc w:val="center"/>
            </w:pPr>
            <w:r>
              <w:rPr>
                <w:rFonts w:ascii="Arial" w:hAnsi="Arial"/>
                <w:b/>
                <w:sz w:val="18"/>
              </w:rPr>
              <w:t>Technique</w:t>
            </w:r>
          </w:p>
        </w:tc>
        <w:tc>
          <w:tcPr>
            <w:tcW w:type="dxa" w:w="3409"/>
            <w:tcBorders>
              <w:bottom w:val="single" w:sz="12" w:space="0" w:color="000000"/>
            </w:tcBorders>
          </w:tcPr>
          <w:p>
            <w:pPr>
              <w:jc w:val="center"/>
            </w:pPr>
            <w:r>
              <w:rPr>
                <w:rFonts w:ascii="Arial" w:hAnsi="Arial"/>
                <w:b/>
                <w:sz w:val="18"/>
              </w:rPr>
              <w:t>Description</w:t>
            </w:r>
          </w:p>
        </w:tc>
        <w:tc>
          <w:tcPr>
            <w:tcW w:type="dxa" w:w="3409"/>
            <w:tcBorders>
              <w:bottom w:val="single" w:sz="12" w:space="0" w:color="000000"/>
            </w:tcBorders>
          </w:tcPr>
          <w:p>
            <w:pPr>
              <w:jc w:val="center"/>
            </w:pPr>
            <w:r>
              <w:rPr>
                <w:rFonts w:ascii="Arial" w:hAnsi="Arial"/>
                <w:b/>
                <w:sz w:val="18"/>
              </w:rPr>
              <w:t>Parameters</w:t>
            </w:r>
          </w:p>
        </w:tc>
      </w:tr>
      <w:tr>
        <w:tc>
          <w:tcPr>
            <w:tcW w:type="dxa" w:w="3409"/>
          </w:tcPr>
          <w:p>
            <w:pPr>
              <w:jc w:val="center"/>
            </w:pPr>
            <w:r>
              <w:t>Random Crop</w:t>
            </w:r>
          </w:p>
        </w:tc>
        <w:tc>
          <w:tcPr>
            <w:tcW w:type="dxa" w:w="3409"/>
          </w:tcPr>
          <w:p>
            <w:pPr>
              <w:jc w:val="center"/>
            </w:pPr>
            <w:r>
              <w:t>Randomly crop a region from the image</w:t>
            </w:r>
          </w:p>
        </w:tc>
        <w:tc>
          <w:tcPr>
            <w:tcW w:type="dxa" w:w="3409"/>
          </w:tcPr>
          <w:p>
            <w:pPr>
              <w:jc w:val="center"/>
            </w:pPr>
            <w:r>
              <w:t>scale=[0.8, 1.0], ratio=[0.9, 1.1]</w:t>
            </w:r>
          </w:p>
        </w:tc>
      </w:tr>
      <w:tr>
        <w:tc>
          <w:tcPr>
            <w:tcW w:type="dxa" w:w="3409"/>
          </w:tcPr>
          <w:p>
            <w:pPr>
              <w:jc w:val="center"/>
            </w:pPr>
            <w:r>
              <w:t>Horizontal Flip</w:t>
            </w:r>
          </w:p>
        </w:tc>
        <w:tc>
          <w:tcPr>
            <w:tcW w:type="dxa" w:w="3409"/>
          </w:tcPr>
          <w:p>
            <w:pPr>
              <w:jc w:val="center"/>
            </w:pPr>
            <w:r>
              <w:t>Randomly flip the image horizontally</w:t>
            </w:r>
          </w:p>
        </w:tc>
        <w:tc>
          <w:tcPr>
            <w:tcW w:type="dxa" w:w="3409"/>
          </w:tcPr>
          <w:p>
            <w:pPr>
              <w:jc w:val="center"/>
            </w:pPr>
            <w:r>
              <w:t>probability=0.5</w:t>
            </w:r>
          </w:p>
        </w:tc>
      </w:tr>
      <w:tr>
        <w:tc>
          <w:tcPr>
            <w:tcW w:type="dxa" w:w="3409"/>
          </w:tcPr>
          <w:p>
            <w:pPr>
              <w:jc w:val="center"/>
            </w:pPr>
            <w:r>
              <w:t>Color Jitter</w:t>
            </w:r>
          </w:p>
        </w:tc>
        <w:tc>
          <w:tcPr>
            <w:tcW w:type="dxa" w:w="3409"/>
          </w:tcPr>
          <w:p>
            <w:pPr>
              <w:jc w:val="center"/>
            </w:pPr>
            <w:r>
              <w:t>Randomly adjust brightness, contrast, saturation</w:t>
            </w:r>
          </w:p>
        </w:tc>
        <w:tc>
          <w:tcPr>
            <w:tcW w:type="dxa" w:w="3409"/>
          </w:tcPr>
          <w:p>
            <w:pPr>
              <w:jc w:val="center"/>
            </w:pPr>
            <w:r>
              <w:t>brightness=0.2, contrast=0.2</w:t>
            </w:r>
          </w:p>
        </w:tc>
      </w:tr>
      <w:tr>
        <w:tc>
          <w:tcPr>
            <w:tcW w:type="dxa" w:w="3409"/>
          </w:tcPr>
          <w:p>
            <w:pPr>
              <w:jc w:val="center"/>
            </w:pPr>
            <w:r>
              <w:t>AutoAugment</w:t>
            </w:r>
          </w:p>
        </w:tc>
        <w:tc>
          <w:tcPr>
            <w:tcW w:type="dxa" w:w="3409"/>
          </w:tcPr>
          <w:p>
            <w:pPr>
              <w:jc w:val="center"/>
            </w:pPr>
            <w:r>
              <w:t>Learned augmentation policies</w:t>
            </w:r>
          </w:p>
        </w:tc>
        <w:tc>
          <w:tcPr>
            <w:tcW w:type="dxa" w:w="3409"/>
          </w:tcPr>
          <w:p>
            <w:pPr>
              <w:jc w:val="center"/>
            </w:pPr>
            <w:r>
              <w:t>25 sub-policies</w:t>
            </w:r>
          </w:p>
        </w:tc>
      </w:tr>
      <w:tr>
        <w:tc>
          <w:tcPr>
            <w:tcW w:type="dxa" w:w="3409"/>
          </w:tcPr>
          <w:p>
            <w:pPr>
              <w:jc w:val="center"/>
            </w:pPr>
            <w:r>
              <w:t>CutMix</w:t>
            </w:r>
          </w:p>
        </w:tc>
        <w:tc>
          <w:tcPr>
            <w:tcW w:type="dxa" w:w="3409"/>
          </w:tcPr>
          <w:p>
            <w:pPr>
              <w:jc w:val="center"/>
            </w:pPr>
            <w:r>
              <w:t>Mix patches from different images</w:t>
            </w:r>
          </w:p>
        </w:tc>
        <w:tc>
          <w:tcPr>
            <w:tcW w:type="dxa" w:w="3409"/>
          </w:tcPr>
          <w:p>
            <w:pPr>
              <w:jc w:val="center"/>
            </w:pPr>
            <w:r>
              <w:t>alpha=1.0</w:t>
            </w:r>
          </w:p>
        </w:tc>
      </w:tr>
    </w:tbl>
    <w:p>
      <w:pPr>
        <w:spacing w:before="0" w:after="0" w:line="276" w:lineRule="auto"/>
        <w:ind w:firstLine="420" w:left="0"/>
        <w:jc w:val="both"/>
      </w:pPr>
      <w:r>
        <w:rPr>
          <w:rFonts w:ascii="Times New Roman" w:hAnsi="Times New Roman" w:eastAsia="SimSun"/>
          <w:sz w:val="20"/>
        </w:rPr>
        <w:t>The effectiveness of data augmentation can be analyzed through the lens of regularization theory. By artificially expanding the training distribution, models learn more robust features that generalize better to unseen data.</w:t>
      </w:r>
    </w:p>
    <w:p>
      <w:pPr>
        <w:jc w:val="center"/>
      </w:pPr>
      <w:r>
        <w:drawing>
          <wp:inline xmlns:a="http://schemas.openxmlformats.org/drawingml/2006/main" xmlns:pic="http://schemas.openxmlformats.org/drawingml/2006/picture">
            <wp:extent cx="2952000" cy="2019789"/>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1958300" cy="15024100"/>
                    </a:xfrm>
                    <a:prstGeom prst="rect"/>
                  </pic:spPr>
                </pic:pic>
              </a:graphicData>
            </a:graphic>
          </wp:inline>
        </w:drawing>
      </w:r>
    </w:p>
    <w:p>
      <w:pPr>
        <w:spacing w:before="60" w:after="240" w:line="240" w:lineRule="auto"/>
        <w:ind w:firstLine="0" w:left="0"/>
        <w:jc w:val="center"/>
      </w:pPr>
      <w:r>
        <w:rPr>
          <w:rFonts w:ascii="Times New Roman" w:hAnsi="Times New Roman" w:eastAsia="SimSun"/>
          <w:i/>
          <w:sz w:val="18"/>
        </w:rPr>
        <w:t>Fig.2: Figure 2: Examples of data augmentation techniques. (a) Original image</w:t>
      </w:r>
    </w:p>
    <w:p>
      <w:pPr>
        <w:spacing w:before="240" w:after="60" w:line="240" w:lineRule="auto"/>
        <w:ind w:firstLine="0" w:left="0"/>
        <w:jc w:val="left"/>
      </w:pPr>
      <w:r>
        <w:rPr>
          <w:rFonts w:ascii="Times New Roman" w:hAnsi="Times New Roman" w:eastAsia="SimSun"/>
          <w:b/>
          <w:sz w:val="22"/>
        </w:rPr>
        <w:t>3.2 Regularization Methods</w:t>
      </w:r>
    </w:p>
    <w:p>
      <w:pPr>
        <w:spacing w:before="0" w:after="0" w:line="276" w:lineRule="auto"/>
        <w:ind w:firstLine="420" w:left="0"/>
        <w:jc w:val="both"/>
      </w:pPr>
      <w:r>
        <w:rPr>
          <w:rFonts w:ascii="Times New Roman" w:hAnsi="Times New Roman" w:eastAsia="SimSun"/>
          <w:sz w:val="20"/>
        </w:rPr>
        <w:t>Deep networks are prone to overfitting due to their high capacity. Several regularization techniques help prevent this:</w:t>
      </w:r>
    </w:p>
    <w:p>
      <w:pPr>
        <w:spacing w:before="120" w:after="120" w:line="240" w:lineRule="auto"/>
        <w:ind w:firstLine="0" w:left="120"/>
        <w:jc w:val="left"/>
      </w:pPr>
      <w:r>
        <w:rPr>
          <w:b/>
        </w:rPr>
        <w:t>[# Dropout regularization example in PyTorch]</w:t>
        <w:br/>
      </w:r>
      <w:r>
        <w:t># Dropout regularization example in PyTorch</w:t>
        <w:br/>
        <w:t>class CNN(nn.Module):</w:t>
        <w:br/>
        <w:t xml:space="preserve">    def __init__(self):</w:t>
        <w:br/>
        <w:t xml:space="preserve">        super().__init__()</w:t>
        <w:br/>
        <w:t xml:space="preserve">        self.conv1 = nn.Conv2d(3, 64, 3, padding=1)</w:t>
        <w:br/>
        <w:t xml:space="preserve">        self.dropout = nn.Dropout(p=0.5)  # Dropout with probability 0.5</w:t>
        <w:br/>
        <w:t xml:space="preserve">        self.fc = nn.Linear(512, 10)</w:t>
        <w:br/>
        <w:t xml:space="preserve">    </w:t>
        <w:br/>
        <w:t xml:space="preserve">    def forward(self, x):</w:t>
        <w:br/>
        <w:t xml:space="preserve">        x = F.relu(self.conv1(x))</w:t>
        <w:br/>
        <w:t xml:space="preserve">        x = self.dropout(x)  # Apply dropout during training</w:t>
        <w:br/>
        <w:t xml:space="preserve">        return x</w:t>
      </w:r>
    </w:p>
    <w:p>
      <w:pPr>
        <w:spacing w:before="0" w:after="0" w:line="276" w:lineRule="auto"/>
        <w:ind w:firstLine="420" w:left="0"/>
        <w:jc w:val="both"/>
      </w:pPr>
      <w:r>
        <w:rPr>
          <w:rFonts w:ascii="Times New Roman" w:hAnsi="Times New Roman" w:eastAsia="SimSun"/>
          <w:sz w:val="20"/>
        </w:rPr>
        <w:t>Additionally, label smoothing provides implicit regularization:</w:t>
      </w:r>
    </w:p>
    <w:p>
      <w:pPr>
        <w:spacing w:before="120" w:after="120" w:line="360" w:lineRule="auto"/>
        <w:ind w:firstLine="0" w:left="0"/>
        <w:jc w:val="center"/>
      </w:pPr>
      <m:oMathPara>
        <m:oMath>
          <m:sSub>
            <m:e>
              <m:r>
                <m:t>q</m:t>
              </m:r>
            </m:e>
            <m:sub>
              <m:r>
                <m:t>i</m:t>
              </m:r>
            </m:sub>
          </m:sSub>
          <m:r>
            <m:t> = (1 - </m:t>
          </m:r>
          <m:r>
            <m:t>ε</m:t>
          </m:r>
          <m:r>
            <m:t>) </m:t>
          </m:r>
          <m:r>
            <m:t>·</m:t>
          </m:r>
          <m:sSub>
            <m:e>
              <m:r>
                <m:t> q</m:t>
              </m:r>
            </m:e>
            <m:sub>
              <m:r>
                <m:t>i</m:t>
              </m:r>
            </m:sub>
          </m:sSub>
          <m:r>
            <m:t> + </m:t>
          </m:r>
          <m:r>
            <m:t>ε</m:t>
          </m:r>
          <m:r>
            <m:t> / K</m:t>
          </m:r>
        </m:oMath>
      </m:oMathPara>
      <w:r>
        <w:tab/>
      </w:r>
      <w:r>
        <w:t>(5)</w:t>
      </w:r>
    </w:p>
    <w:p>
      <w:pPr>
        <w:spacing w:before="0" w:after="0" w:line="276" w:lineRule="auto"/>
        <w:ind w:firstLine="420" w:left="0"/>
        <w:jc w:val="both"/>
      </w:pPr>
      <w:r>
        <w:rPr>
          <w:rFonts w:ascii="Times New Roman" w:hAnsi="Times New Roman" w:eastAsia="SimSun"/>
          <w:sz w:val="20"/>
        </w:rPr>
        <w:t xml:space="preserve">where </w:t>
      </w:r>
      <m:oMath>
        <m:sSub>
          <m:e>
            <m:r>
              <m:t>q</m:t>
            </m:r>
          </m:e>
          <m:sub>
            <m:r>
              <m:t>i</m:t>
            </m:r>
          </m:sub>
        </m:sSub>
      </m:oMath>
      <w:r>
        <w:rPr>
          <w:rFonts w:ascii="Times New Roman" w:hAnsi="Times New Roman" w:eastAsia="SimSun"/>
          <w:sz w:val="20"/>
        </w:rPr>
        <w:t xml:space="preserve"> is the original label distribution, </w:t>
      </w:r>
      <m:oMath>
        <m:r>
          <m:t>K</m:t>
        </m:r>
      </m:oMath>
      <w:r>
        <w:rPr>
          <w:rFonts w:ascii="Times New Roman" w:hAnsi="Times New Roman" w:eastAsia="SimSun"/>
          <w:sz w:val="20"/>
        </w:rPr>
        <w:t xml:space="preserve"> is the number of classes, and </w:t>
      </w:r>
      <m:oMath>
        <m:r>
          <m:t>ε</m:t>
        </m:r>
      </m:oMath>
      <w:r>
        <w:rPr>
          <w:rFonts w:ascii="Times New Roman" w:hAnsi="Times New Roman" w:eastAsia="SimSun"/>
          <w:sz w:val="20"/>
        </w:rPr>
        <w:t xml:space="preserve"> is the smoothing parameter (typically 0.1).</w:t>
      </w:r>
    </w:p>
    <w:p>
      <w:pPr>
        <w:spacing w:before="240" w:after="60" w:line="240" w:lineRule="auto"/>
        <w:ind w:firstLine="0" w:left="0"/>
        <w:jc w:val="left"/>
      </w:pPr>
      <w:r>
        <w:rPr>
          <w:rFonts w:ascii="Times New Roman" w:hAnsi="Times New Roman" w:eastAsia="SimSun"/>
          <w:b/>
          <w:sz w:val="22"/>
        </w:rPr>
        <w:t>3.3 Optimization Algorithms</w:t>
      </w:r>
    </w:p>
    <w:p>
      <w:pPr>
        <w:spacing w:before="0" w:after="0" w:line="276" w:lineRule="auto"/>
        <w:ind w:firstLine="420" w:left="0"/>
        <w:jc w:val="both"/>
      </w:pPr>
      <w:r>
        <w:rPr>
          <w:rFonts w:ascii="Times New Roman" w:hAnsi="Times New Roman" w:eastAsia="SimSun"/>
          <w:sz w:val="20"/>
        </w:rPr>
        <w:t>The choice of optimizer significantly impacts training dynamics. Popular algorithms include:</w:t>
      </w:r>
    </w:p>
    <w:p>
      <w:pPr>
        <w:spacing w:before="0" w:after="0" w:line="276" w:lineRule="auto"/>
        <w:ind w:firstLine="420" w:left="0"/>
        <w:jc w:val="both"/>
      </w:pPr>
      <w:r>
        <w:rPr>
          <w:rFonts w:ascii="Times New Roman" w:hAnsi="Times New Roman" w:eastAsia="SimSun"/>
          <w:b/>
          <w:sz w:val="20"/>
        </w:rPr>
        <w:t>Stochastic Gradient Descent (SGD)</w:t>
      </w:r>
      <w:r>
        <w:rPr>
          <w:rFonts w:ascii="Times New Roman" w:hAnsi="Times New Roman" w:eastAsia="SimSun"/>
          <w:sz w:val="20"/>
        </w:rPr>
        <w:t xml:space="preserve"> with momentum:</w:t>
      </w:r>
    </w:p>
    <w:p>
      <w:pPr>
        <w:spacing w:before="120" w:after="120" w:line="360" w:lineRule="auto"/>
        <w:ind w:firstLine="0" w:left="0"/>
        <w:jc w:val="center"/>
      </w:pPr>
      <m:oMathPara>
        <m:oMath>
          <m:sSub>
            <m:e>
              <m:r>
                <m:t>v</m:t>
              </m:r>
            </m:e>
            <m:sub>
              <m:r>
                <m:t>t</m:t>
              </m:r>
            </m:sub>
          </m:sSub>
          <m:r>
            <m:t> = </m:t>
          </m:r>
          <m:r>
            <m:t>β</m:t>
          </m:r>
          <m:sSub>
            <m:e>
              <m:r>
                <m:t> v</m:t>
              </m:r>
            </m:e>
            <m:sub>
              <m:r>
                <m:t>t-1</m:t>
              </m:r>
            </m:sub>
          </m:sSub>
          <m:r>
            <m:t> + (1 - </m:t>
          </m:r>
          <m:r>
            <m:t>β</m:t>
          </m:r>
          <m:r>
            <m:t>) </m:t>
          </m:r>
          <m:sSub>
            <m:e>
              <m:r>
                <m:t>∇</m:t>
              </m:r>
            </m:e>
            <m:sub>
              <m:r>
                <m:t>θ</m:t>
              </m:r>
            </m:sub>
          </m:sSub>
          <m:r>
            <m:t> L</m:t>
          </m:r>
        </m:oMath>
      </m:oMathPara>
      <w:r>
        <w:tab/>
      </w:r>
      <w:r>
        <w:t>(6)</w:t>
      </w:r>
    </w:p>
    <w:p>
      <w:pPr>
        <w:spacing w:before="120" w:after="120" w:line="360" w:lineRule="auto"/>
        <w:ind w:firstLine="0" w:left="0"/>
        <w:jc w:val="center"/>
      </w:pPr>
      <m:oMathPara>
        <m:oMath>
          <m:sSub>
            <m:e>
              <m:r>
                <m:t>θ</m:t>
              </m:r>
            </m:e>
            <m:sub>
              <m:r>
                <m:t>t</m:t>
              </m:r>
            </m:sub>
          </m:sSub>
          <m:r>
            <m:t> = </m:t>
          </m:r>
          <m:sSub>
            <m:e>
              <m:r>
                <m:t>θ</m:t>
              </m:r>
            </m:e>
            <m:sub>
              <m:r>
                <m:t>t-1</m:t>
              </m:r>
            </m:sub>
          </m:sSub>
          <m:r>
            <m:t> - </m:t>
          </m:r>
          <m:r>
            <m:t>γ</m:t>
          </m:r>
          <m:sSub>
            <m:e>
              <m:r>
                <m:t> v</m:t>
              </m:r>
            </m:e>
            <m:sub>
              <m:r>
                <m:t>t</m:t>
              </m:r>
            </m:sub>
          </m:sSub>
        </m:oMath>
      </m:oMathPara>
      <w:r>
        <w:tab/>
      </w:r>
      <w:r>
        <w:t>(7)</w:t>
      </w:r>
    </w:p>
    <w:p>
      <w:pPr>
        <w:spacing w:before="0" w:after="0" w:line="276" w:lineRule="auto"/>
        <w:ind w:firstLine="420" w:left="0"/>
        <w:jc w:val="both"/>
      </w:pPr>
      <w:r>
        <w:rPr>
          <w:rFonts w:ascii="Times New Roman" w:hAnsi="Times New Roman" w:eastAsia="SimSun"/>
          <w:sz w:val="20"/>
        </w:rPr>
        <w:t xml:space="preserve">where </w:t>
      </w:r>
      <m:oMath>
        <m:r>
          <m:t>β</m:t>
        </m:r>
      </m:oMath>
      <w:r>
        <w:rPr>
          <w:rFonts w:ascii="Times New Roman" w:hAnsi="Times New Roman" w:eastAsia="SimSun"/>
          <w:sz w:val="20"/>
        </w:rPr>
        <w:t xml:space="preserve"> is the momentum coefficient and </w:t>
      </w:r>
      <m:oMath>
        <m:r>
          <m:t>γ</m:t>
        </m:r>
      </m:oMath>
      <w:r>
        <w:rPr>
          <w:rFonts w:ascii="Times New Roman" w:hAnsi="Times New Roman" w:eastAsia="SimSun"/>
          <w:sz w:val="20"/>
        </w:rPr>
        <w:t xml:space="preserve"> is the learning rate.</w:t>
      </w:r>
    </w:p>
    <w:p>
      <w:pPr>
        <w:spacing w:before="0" w:after="0" w:line="276" w:lineRule="auto"/>
        <w:ind w:firstLine="420" w:left="0"/>
        <w:jc w:val="both"/>
      </w:pPr>
      <w:r>
        <w:rPr>
          <w:rFonts w:ascii="Times New Roman" w:hAnsi="Times New Roman" w:eastAsia="SimSun"/>
          <w:b/>
          <w:sz w:val="20"/>
        </w:rPr>
        <w:t>Adam</w:t>
      </w:r>
      <w:r>
        <w:rPr>
          <w:rFonts w:ascii="Times New Roman" w:hAnsi="Times New Roman" w:eastAsia="SimSun"/>
          <w:sz w:val="20"/>
        </w:rPr>
        <w:t xml:space="preserve"> combines momentum and adaptive learning rates:</w:t>
      </w:r>
    </w:p>
    <w:p>
      <w:pPr>
        <w:spacing w:before="120" w:after="120" w:line="360" w:lineRule="auto"/>
        <w:ind w:firstLine="0" w:left="0"/>
        <w:jc w:val="center"/>
      </w:pPr>
      <m:oMathPara>
        <m:oMath>
          <m:sSub>
            <m:e>
              <m:r>
                <m:t>m</m:t>
              </m:r>
            </m:e>
            <m:sub>
              <m:r>
                <m:t>t</m:t>
              </m:r>
            </m:sub>
          </m:sSub>
          <m:r>
            <m:t> = </m:t>
          </m:r>
          <m:sSub>
            <m:e>
              <m:r>
                <m:t>β</m:t>
              </m:r>
            </m:e>
            <m:sub>
              <m:r>
                <m:t>1</m:t>
              </m:r>
            </m:sub>
          </m:sSub>
          <m:sSub>
            <m:e>
              <m:r>
                <m:t> m</m:t>
              </m:r>
            </m:e>
            <m:sub>
              <m:r>
                <m:t>t-1</m:t>
              </m:r>
            </m:sub>
          </m:sSub>
          <m:r>
            <m:t> + (1 - </m:t>
          </m:r>
          <m:sSub>
            <m:e>
              <m:r>
                <m:t>β</m:t>
              </m:r>
            </m:e>
            <m:sub>
              <m:r>
                <m:t>1</m:t>
              </m:r>
            </m:sub>
          </m:sSub>
          <m:sSub>
            <m:e>
              <m:r>
                <m:t>) g</m:t>
              </m:r>
            </m:e>
            <m:sub>
              <m:r>
                <m:t>t</m:t>
              </m:r>
            </m:sub>
          </m:sSub>
        </m:oMath>
      </m:oMathPara>
      <w:r>
        <w:tab/>
      </w:r>
      <w:r>
        <w:t>(8)</w:t>
      </w:r>
    </w:p>
    <w:p>
      <w:pPr>
        <w:spacing w:before="120" w:after="120" w:line="360" w:lineRule="auto"/>
        <w:ind w:firstLine="0" w:left="0"/>
        <w:jc w:val="center"/>
      </w:pPr>
      <m:oMathPara>
        <m:oMath>
          <m:sSub>
            <m:e>
              <m:r>
                <m:t>v</m:t>
              </m:r>
            </m:e>
            <m:sub>
              <m:r>
                <m:t>t</m:t>
              </m:r>
            </m:sub>
          </m:sSub>
          <m:r>
            <m:t> = </m:t>
          </m:r>
          <m:sSub>
            <m:e>
              <m:r>
                <m:t>β</m:t>
              </m:r>
            </m:e>
            <m:sub>
              <m:r>
                <m:t>2</m:t>
              </m:r>
            </m:sub>
          </m:sSub>
          <m:sSub>
            <m:e>
              <m:r>
                <m:t> v</m:t>
              </m:r>
            </m:e>
            <m:sub>
              <m:r>
                <m:t>t-1</m:t>
              </m:r>
            </m:sub>
          </m:sSub>
          <m:r>
            <m:t> + (1 - </m:t>
          </m:r>
          <m:sSub>
            <m:e>
              <m:r>
                <m:t>β</m:t>
              </m:r>
            </m:e>
            <m:sub>
              <m:r>
                <m:t>2</m:t>
              </m:r>
            </m:sub>
          </m:sSub>
          <m:sSup>
            <m:e>
              <m:sSub>
                <m:e>
                  <m:r>
                    <m:t>) g</m:t>
                  </m:r>
                </m:e>
                <m:sub>
                  <m:r>
                    <m:t>t</m:t>
                  </m:r>
                </m:sub>
              </m:sSub>
            </m:e>
            <m:sup>
              <m:r>
                <m:t>2</m:t>
              </m:r>
            </m:sup>
          </m:sSup>
        </m:oMath>
      </m:oMathPara>
      <w:r>
        <w:tab/>
      </w:r>
      <w:r>
        <w:t>(9)</w:t>
      </w:r>
    </w:p>
    <w:p>
      <w:pPr>
        <w:spacing w:before="120" w:after="120" w:line="360" w:lineRule="auto"/>
        <w:ind w:firstLine="0" w:left="0"/>
        <w:jc w:val="center"/>
      </w:pPr>
      <m:oMathPara>
        <m:oMath>
          <m:sSub>
            <m:e>
              <m:acc>
                <m:accPr>
                  <m:chr m:val="̂"/>
                </m:accPr>
                <m:e>
                  <m:r>
                    <m:t>m</m:t>
                  </m:r>
                </m:e>
              </m:acc>
            </m:e>
            <m:sub>
              <m:r>
                <m:t>t</m:t>
              </m:r>
            </m:sub>
          </m:sSub>
          <m:r>
            <m:t> = </m:t>
          </m:r>
          <m:f>
            <m:fPr>
              <m:fType m:val="bar"/>
            </m:fPr>
            <m:num>
              <m:sSub>
                <m:e>
                  <m:r>
                    <m:t>m</m:t>
                  </m:r>
                </m:e>
                <m:sub>
                  <m:r>
                    <m:t>t</m:t>
                  </m:r>
                </m:sub>
              </m:sSub>
            </m:num>
            <m:den>
              <m:r>
                <m:t>1 - </m:t>
              </m:r>
              <m:sSup>
                <m:e>
                  <m:sSub>
                    <m:e>
                      <m:r>
                        <m:t>β</m:t>
                      </m:r>
                    </m:e>
                    <m:sub>
                      <m:r>
                        <m:t>1</m:t>
                      </m:r>
                    </m:sub>
                  </m:sSub>
                </m:e>
                <m:sup>
                  <m:r>
                    <m:t>t</m:t>
                  </m:r>
                </m:sup>
              </m:sSup>
            </m:den>
          </m:f>
          <m:r>
            <m:t> </m:t>
          </m:r>
          <m:r>
            <m:t> </m:t>
          </m:r>
          <m:sSub>
            <m:e>
              <m:acc>
                <m:accPr>
                  <m:chr m:val="̂"/>
                </m:accPr>
                <m:e>
                  <m:r>
                    <m:t>v</m:t>
                  </m:r>
                </m:e>
              </m:acc>
            </m:e>
            <m:sub>
              <m:r>
                <m:t>t</m:t>
              </m:r>
            </m:sub>
          </m:sSub>
          <m:r>
            <m:t> = </m:t>
          </m:r>
          <m:f>
            <m:fPr>
              <m:fType m:val="bar"/>
            </m:fPr>
            <m:num>
              <m:sSub>
                <m:e>
                  <m:r>
                    <m:t>v</m:t>
                  </m:r>
                </m:e>
                <m:sub>
                  <m:r>
                    <m:t>t</m:t>
                  </m:r>
                </m:sub>
              </m:sSub>
            </m:num>
            <m:den>
              <m:r>
                <m:t>1 - </m:t>
              </m:r>
              <m:sSup>
                <m:e>
                  <m:sSub>
                    <m:e>
                      <m:r>
                        <m:t>β</m:t>
                      </m:r>
                    </m:e>
                    <m:sub>
                      <m:r>
                        <m:t>2</m:t>
                      </m:r>
                    </m:sub>
                  </m:sSub>
                </m:e>
                <m:sup>
                  <m:r>
                    <m:t>t</m:t>
                  </m:r>
                </m:sup>
              </m:sSup>
            </m:den>
          </m:f>
        </m:oMath>
      </m:oMathPara>
      <w:r>
        <w:tab/>
      </w:r>
      <w:r>
        <w:t>(10)</w:t>
      </w:r>
    </w:p>
    <w:p>
      <w:pPr>
        <w:spacing w:before="120" w:after="120" w:line="360" w:lineRule="auto"/>
        <w:ind w:firstLine="0" w:left="0"/>
        <w:jc w:val="center"/>
      </w:pPr>
      <m:oMathPara>
        <m:oMath>
          <m:sSub>
            <m:e>
              <m:r>
                <m:t>θ</m:t>
              </m:r>
            </m:e>
            <m:sub>
              <m:r>
                <m:t>t</m:t>
              </m:r>
            </m:sub>
          </m:sSub>
          <m:r>
            <m:t> = </m:t>
          </m:r>
          <m:sSub>
            <m:e>
              <m:r>
                <m:t>θ</m:t>
              </m:r>
            </m:e>
            <m:sub>
              <m:r>
                <m:t>t-1</m:t>
              </m:r>
            </m:sub>
          </m:sSub>
          <m:r>
            <m:t> - </m:t>
          </m:r>
          <m:f>
            <m:fPr>
              <m:fType m:val="bar"/>
            </m:fPr>
            <m:num>
              <m:r>
                <m:t>γ</m:t>
              </m:r>
              <m:r>
                <m:t> </m:t>
              </m:r>
              <m:sSub>
                <m:e>
                  <m:acc>
                    <m:accPr>
                      <m:chr m:val="̂"/>
                    </m:accPr>
                    <m:e>
                      <m:r>
                        <m:t>m</m:t>
                      </m:r>
                    </m:e>
                  </m:acc>
                </m:e>
                <m:sub>
                  <m:r>
                    <m:t>t</m:t>
                  </m:r>
                </m:sub>
              </m:sSub>
            </m:num>
            <m:den>
              <m:rad>
                <m:radPr>
                  <m:degHide m:val="1"/>
                </m:radPr>
                <m:deg/>
                <m:e>
                  <m:sSub>
                    <m:e>
                      <m:acc>
                        <m:accPr>
                          <m:chr m:val="̂"/>
                        </m:accPr>
                        <m:e>
                          <m:r>
                            <m:t>v</m:t>
                          </m:r>
                        </m:e>
                      </m:acc>
                    </m:e>
                    <m:sub>
                      <m:r>
                        <m:t>t</m:t>
                      </m:r>
                    </m:sub>
                  </m:sSub>
                </m:e>
              </m:rad>
              <m:r>
                <m:t> + </m:t>
              </m:r>
              <m:r>
                <m:t>δ</m:t>
              </m:r>
            </m:den>
          </m:f>
        </m:oMath>
      </m:oMathPara>
      <w:r>
        <w:tab/>
      </w:r>
      <w:r>
        <w:t>(11)</w:t>
      </w:r>
    </w:p>
    <w:p>
      <w:pPr>
        <w:spacing w:before="360" w:after="120" w:line="240" w:lineRule="auto"/>
        <w:ind w:firstLine="0" w:left="0"/>
        <w:jc w:val="left"/>
      </w:pPr>
      <w:r>
        <w:rPr>
          <w:rFonts w:ascii="Times New Roman" w:hAnsi="Times New Roman" w:eastAsia="SimSun"/>
          <w:b/>
          <w:sz w:val="24"/>
        </w:rPr>
        <w:t>4. Performance Analysis</w:t>
      </w:r>
    </w:p>
    <w:p>
      <w:pPr>
        <w:spacing w:before="0" w:after="0" w:line="276" w:lineRule="auto"/>
        <w:ind w:firstLine="420" w:left="0"/>
        <w:jc w:val="both"/>
      </w:pPr>
      <w:r>
        <w:rPr>
          <w:rFonts w:ascii="Times New Roman" w:hAnsi="Times New Roman" w:eastAsia="SimSun"/>
          <w:sz w:val="20"/>
        </w:rPr>
        <w:t>We evaluate our method on several benchmark datasets including ImageNet, COCO, and ADE20K. The experimental results demonstrate the effectiveness of the proposed approach.</w:t>
      </w:r>
    </w:p>
    <w:p>
      <w:pPr>
        <w:spacing w:before="240" w:after="60" w:line="240" w:lineRule="auto"/>
        <w:ind w:firstLine="0" w:left="0"/>
        <w:jc w:val="left"/>
      </w:pPr>
      <w:r>
        <w:rPr>
          <w:rFonts w:ascii="Times New Roman" w:hAnsi="Times New Roman" w:eastAsia="SimSun"/>
          <w:b/>
          <w:sz w:val="22"/>
        </w:rPr>
        <w:t>4.1 Image Classification</w:t>
      </w:r>
    </w:p>
    <w:p>
      <w:pPr>
        <w:spacing w:before="0" w:after="0" w:line="276" w:lineRule="auto"/>
        <w:ind w:firstLine="420" w:left="0"/>
        <w:jc w:val="both"/>
      </w:pPr>
      <w:r>
        <w:rPr>
          <w:rFonts w:ascii="Times New Roman" w:hAnsi="Times New Roman" w:eastAsia="SimSun"/>
          <w:sz w:val="20"/>
        </w:rPr>
        <w:t>Table 1 presents the comparison of different architectures on ImageNet-1K validation set. Our method achieves state-of-the-art performance while maintaining computational efficiency.</w:t>
      </w:r>
    </w:p>
    <w:p>
      <w:pPr>
        <w:spacing w:before="0" w:after="60" w:line="240" w:lineRule="auto"/>
        <w:ind w:firstLine="0" w:left="0"/>
        <w:jc w:val="center"/>
      </w:pPr>
      <w:r>
        <w:t>Table 1: Performance comparison on ImageNet-1K validation set. Our method achieves the best accuracy while using fewer parameters than ViT-Base.</w:t>
      </w:r>
    </w:p>
    <w:tbl>
      <w:tblPr>
        <w:tblW w:type="auto" w:w="0"/>
        <w:tblLook w:firstColumn="1" w:firstRow="1" w:lastColumn="0" w:lastRow="0" w:noHBand="0" w:noVBand="1" w:val="04A0"/>
        <w:tblBorders>
          <w:top w:val="single" w:sz="24" w:space="0" w:color="000000"/>
          <w:bottom w:val="single" w:sz="24" w:space="0" w:color="000000"/>
          <w:insideH w:val="nil"/>
          <w:insideV w:val="nil"/>
        </w:tblBorders>
      </w:tblPr>
      <w:tblGrid>
        <w:gridCol w:w="2046"/>
        <w:gridCol w:w="2046"/>
        <w:gridCol w:w="2046"/>
        <w:gridCol w:w="2046"/>
        <w:gridCol w:w="2046"/>
      </w:tblGrid>
      <w:tr>
        <w:tc>
          <w:tcPr>
            <w:tcW w:type="dxa" w:w="2046"/>
            <w:tcBorders>
              <w:bottom w:val="single" w:sz="12" w:space="0" w:color="000000"/>
            </w:tcBorders>
          </w:tcPr>
          <w:p>
            <w:pPr>
              <w:jc w:val="center"/>
            </w:pPr>
            <w:r>
              <w:rPr>
                <w:rFonts w:ascii="Arial" w:hAnsi="Arial"/>
                <w:b/>
                <w:sz w:val="18"/>
              </w:rPr>
              <w:t>Model</w:t>
            </w:r>
          </w:p>
        </w:tc>
        <w:tc>
          <w:tcPr>
            <w:tcW w:type="dxa" w:w="2046"/>
            <w:tcBorders>
              <w:bottom w:val="single" w:sz="12" w:space="0" w:color="000000"/>
            </w:tcBorders>
          </w:tcPr>
          <w:p>
            <w:pPr>
              <w:jc w:val="center"/>
            </w:pPr>
            <w:r>
              <w:rPr>
                <w:rFonts w:ascii="Arial" w:hAnsi="Arial"/>
                <w:b/>
                <w:sz w:val="18"/>
              </w:rPr>
              <w:t>Top-1 (%)</w:t>
            </w:r>
          </w:p>
        </w:tc>
        <w:tc>
          <w:tcPr>
            <w:tcW w:type="dxa" w:w="2046"/>
            <w:tcBorders>
              <w:bottom w:val="single" w:sz="12" w:space="0" w:color="000000"/>
            </w:tcBorders>
          </w:tcPr>
          <w:p>
            <w:pPr>
              <w:jc w:val="center"/>
            </w:pPr>
            <w:r>
              <w:rPr>
                <w:rFonts w:ascii="Arial" w:hAnsi="Arial"/>
                <w:b/>
                <w:sz w:val="18"/>
              </w:rPr>
              <w:t>Top-5 (%)</w:t>
            </w:r>
          </w:p>
        </w:tc>
        <w:tc>
          <w:tcPr>
            <w:tcW w:type="dxa" w:w="2046"/>
            <w:tcBorders>
              <w:bottom w:val="single" w:sz="12" w:space="0" w:color="000000"/>
            </w:tcBorders>
          </w:tcPr>
          <w:p>
            <w:pPr>
              <w:jc w:val="center"/>
            </w:pPr>
            <w:r>
              <w:rPr>
                <w:rFonts w:ascii="Arial" w:hAnsi="Arial"/>
                <w:b/>
                <w:sz w:val="18"/>
              </w:rPr>
              <w:t>Params (M)</w:t>
            </w:r>
          </w:p>
        </w:tc>
        <w:tc>
          <w:tcPr>
            <w:tcW w:type="dxa" w:w="2046"/>
            <w:tcBorders>
              <w:bottom w:val="single" w:sz="12" w:space="0" w:color="000000"/>
            </w:tcBorders>
          </w:tcPr>
          <w:p>
            <w:pPr>
              <w:jc w:val="center"/>
            </w:pPr>
            <w:r>
              <w:rPr>
                <w:rFonts w:ascii="Arial" w:hAnsi="Arial"/>
                <w:b/>
                <w:sz w:val="18"/>
              </w:rPr>
              <w:t>FLOPs (G)</w:t>
            </w:r>
          </w:p>
        </w:tc>
      </w:tr>
      <w:tr>
        <w:tc>
          <w:tcPr>
            <w:tcW w:type="dxa" w:w="2046"/>
          </w:tcPr>
          <w:p>
            <w:pPr>
              <w:jc w:val="center"/>
            </w:pPr>
            <w:r>
              <w:t>ResNet-50</w:t>
            </w:r>
          </w:p>
        </w:tc>
        <w:tc>
          <w:tcPr>
            <w:tcW w:type="dxa" w:w="2046"/>
          </w:tcPr>
          <w:p>
            <w:pPr>
              <w:jc w:val="center"/>
            </w:pPr>
            <w:r>
              <w:t>76.1</w:t>
            </w:r>
          </w:p>
        </w:tc>
        <w:tc>
          <w:tcPr>
            <w:tcW w:type="dxa" w:w="2046"/>
          </w:tcPr>
          <w:p>
            <w:pPr>
              <w:jc w:val="center"/>
            </w:pPr>
            <w:r>
              <w:t>92.9</w:t>
            </w:r>
          </w:p>
        </w:tc>
        <w:tc>
          <w:tcPr>
            <w:tcW w:type="dxa" w:w="2046"/>
          </w:tcPr>
          <w:p>
            <w:pPr>
              <w:jc w:val="center"/>
            </w:pPr>
            <w:r>
              <w:t>25.6</w:t>
            </w:r>
          </w:p>
        </w:tc>
        <w:tc>
          <w:tcPr>
            <w:tcW w:type="dxa" w:w="2046"/>
          </w:tcPr>
          <w:p>
            <w:pPr>
              <w:jc w:val="center"/>
            </w:pPr>
            <w:r>
              <w:t>4.1</w:t>
            </w:r>
          </w:p>
        </w:tc>
      </w:tr>
      <w:tr>
        <w:tc>
          <w:tcPr>
            <w:tcW w:type="dxa" w:w="2046"/>
          </w:tcPr>
          <w:p>
            <w:pPr>
              <w:jc w:val="center"/>
            </w:pPr>
            <w:r>
              <w:t>EfficientNet-B3</w:t>
            </w:r>
          </w:p>
        </w:tc>
        <w:tc>
          <w:tcPr>
            <w:tcW w:type="dxa" w:w="2046"/>
          </w:tcPr>
          <w:p>
            <w:pPr>
              <w:jc w:val="center"/>
            </w:pPr>
            <w:r>
              <w:t>84.1</w:t>
            </w:r>
          </w:p>
        </w:tc>
        <w:tc>
          <w:tcPr>
            <w:tcW w:type="dxa" w:w="2046"/>
          </w:tcPr>
          <w:p>
            <w:pPr>
              <w:jc w:val="center"/>
            </w:pPr>
            <w:r>
              <w:t>96.8</w:t>
            </w:r>
          </w:p>
        </w:tc>
        <w:tc>
          <w:tcPr>
            <w:tcW w:type="dxa" w:w="2046"/>
          </w:tcPr>
          <w:p>
            <w:pPr>
              <w:jc w:val="center"/>
            </w:pPr>
            <w:r>
              <w:t>12.2</w:t>
            </w:r>
          </w:p>
        </w:tc>
        <w:tc>
          <w:tcPr>
            <w:tcW w:type="dxa" w:w="2046"/>
          </w:tcPr>
          <w:p>
            <w:pPr>
              <w:jc w:val="center"/>
            </w:pPr>
            <w:r>
              <w:t>1.8</w:t>
            </w:r>
          </w:p>
        </w:tc>
      </w:tr>
      <w:tr>
        <w:tc>
          <w:tcPr>
            <w:tcW w:type="dxa" w:w="2046"/>
          </w:tcPr>
          <w:p>
            <w:pPr>
              <w:jc w:val="center"/>
            </w:pPr>
            <w:r>
              <w:t>ViT-Base</w:t>
            </w:r>
          </w:p>
        </w:tc>
        <w:tc>
          <w:tcPr>
            <w:tcW w:type="dxa" w:w="2046"/>
          </w:tcPr>
          <w:p>
            <w:pPr>
              <w:jc w:val="center"/>
            </w:pPr>
            <w:r>
              <w:t>84.3</w:t>
            </w:r>
          </w:p>
        </w:tc>
        <w:tc>
          <w:tcPr>
            <w:tcW w:type="dxa" w:w="2046"/>
          </w:tcPr>
          <w:p>
            <w:pPr>
              <w:jc w:val="center"/>
            </w:pPr>
            <w:r>
              <w:t>97.2</w:t>
            </w:r>
          </w:p>
        </w:tc>
        <w:tc>
          <w:tcPr>
            <w:tcW w:type="dxa" w:w="2046"/>
          </w:tcPr>
          <w:p>
            <w:pPr>
              <w:jc w:val="center"/>
            </w:pPr>
            <w:r>
              <w:t>86.4</w:t>
            </w:r>
          </w:p>
        </w:tc>
        <w:tc>
          <w:tcPr>
            <w:tcW w:type="dxa" w:w="2046"/>
          </w:tcPr>
          <w:p>
            <w:pPr>
              <w:jc w:val="center"/>
            </w:pPr>
            <w:r>
              <w:t>17.6</w:t>
            </w:r>
          </w:p>
        </w:tc>
      </w:tr>
      <w:tr>
        <w:tc>
          <w:tcPr>
            <w:tcW w:type="dxa" w:w="2046"/>
          </w:tcPr>
          <w:p>
            <w:pPr>
              <w:jc w:val="center"/>
            </w:pPr>
            <w:r>
              <w:t>Swin-Tiny</w:t>
            </w:r>
          </w:p>
        </w:tc>
        <w:tc>
          <w:tcPr>
            <w:tcW w:type="dxa" w:w="2046"/>
          </w:tcPr>
          <w:p>
            <w:pPr>
              <w:jc w:val="center"/>
            </w:pPr>
            <w:r>
              <w:t>84.5</w:t>
            </w:r>
          </w:p>
        </w:tc>
        <w:tc>
          <w:tcPr>
            <w:tcW w:type="dxa" w:w="2046"/>
          </w:tcPr>
          <w:p>
            <w:pPr>
              <w:jc w:val="center"/>
            </w:pPr>
            <w:r>
              <w:t>97.2</w:t>
            </w:r>
          </w:p>
        </w:tc>
        <w:tc>
          <w:tcPr>
            <w:tcW w:type="dxa" w:w="2046"/>
          </w:tcPr>
          <w:p>
            <w:pPr>
              <w:jc w:val="center"/>
            </w:pPr>
            <w:r>
              <w:t>28.3</w:t>
            </w:r>
          </w:p>
        </w:tc>
        <w:tc>
          <w:tcPr>
            <w:tcW w:type="dxa" w:w="2046"/>
          </w:tcPr>
          <w:p>
            <w:pPr>
              <w:jc w:val="center"/>
            </w:pPr>
            <w:r>
              <w:t>4.5</w:t>
            </w:r>
          </w:p>
        </w:tc>
      </w:tr>
      <w:tr>
        <w:tc>
          <w:tcPr>
            <w:tcW w:type="dxa" w:w="2046"/>
          </w:tcPr>
          <w:p>
            <w:pPr>
              <w:jc w:val="center"/>
            </w:pPr>
            <w:r>
              <w:t>Ours</w:t>
            </w:r>
          </w:p>
        </w:tc>
        <w:tc>
          <w:tcPr>
            <w:tcW w:type="dxa" w:w="2046"/>
          </w:tcPr>
          <w:p>
            <w:pPr>
              <w:jc w:val="center"/>
            </w:pPr>
            <w:r>
              <w:t>85.7</w:t>
            </w:r>
          </w:p>
        </w:tc>
        <w:tc>
          <w:tcPr>
            <w:tcW w:type="dxa" w:w="2046"/>
          </w:tcPr>
          <w:p>
            <w:pPr>
              <w:jc w:val="center"/>
            </w:pPr>
            <w:r>
              <w:t>97.6</w:t>
            </w:r>
          </w:p>
        </w:tc>
        <w:tc>
          <w:tcPr>
            <w:tcW w:type="dxa" w:w="2046"/>
          </w:tcPr>
          <w:p>
            <w:pPr>
              <w:jc w:val="center"/>
            </w:pPr>
            <w:r>
              <w:t>22.7</w:t>
            </w:r>
          </w:p>
        </w:tc>
        <w:tc>
          <w:tcPr>
            <w:tcW w:type="dxa" w:w="2046"/>
          </w:tcPr>
          <w:p>
            <w:pPr>
              <w:jc w:val="center"/>
            </w:pPr>
            <w:r>
              <w:t>4.2</w:t>
            </w:r>
          </w:p>
        </w:tc>
      </w:tr>
    </w:tbl>
    <w:p>
      <w:pPr>
        <w:spacing w:before="240" w:after="60" w:line="240" w:lineRule="auto"/>
        <w:ind w:firstLine="0" w:left="0"/>
        <w:jc w:val="left"/>
      </w:pPr>
      <w:r>
        <w:rPr>
          <w:rFonts w:ascii="Times New Roman" w:hAnsi="Times New Roman" w:eastAsia="SimSun"/>
          <w:b/>
          <w:sz w:val="22"/>
        </w:rPr>
        <w:t>4.2 Object Detection</w:t>
      </w:r>
    </w:p>
    <w:p>
      <w:pPr>
        <w:spacing w:before="0" w:after="0" w:line="276" w:lineRule="auto"/>
        <w:ind w:firstLine="420" w:left="0"/>
        <w:jc w:val="both"/>
      </w:pPr>
      <w:r>
        <w:rPr>
          <w:rFonts w:ascii="Times New Roman" w:hAnsi="Times New Roman" w:eastAsia="SimSun"/>
          <w:sz w:val="20"/>
        </w:rPr>
        <w:t>For object detection, we evaluate on MS COCO val2017. The results in Table 2 show that our detector significantly outperforms baseline methods.</w:t>
      </w:r>
    </w:p>
    <w:p>
      <w:pPr>
        <w:spacing w:before="0" w:after="60" w:line="240" w:lineRule="auto"/>
        <w:ind w:firstLine="0" w:left="0"/>
        <w:jc w:val="center"/>
      </w:pPr>
      <w:r>
        <w:t>Table 2: Object detection results on MS COCO val2017. Our method achieves 52.3% AP, outperforming previous state-of-the-art detectors.</w:t>
      </w:r>
    </w:p>
    <w:tbl>
      <w:tblPr>
        <w:tblW w:type="auto" w:w="0"/>
        <w:tblLook w:firstColumn="1" w:firstRow="1" w:lastColumn="0" w:lastRow="0" w:noHBand="0" w:noVBand="1" w:val="04A0"/>
        <w:tblBorders>
          <w:top w:val="single" w:sz="24" w:space="0" w:color="000000"/>
          <w:bottom w:val="single" w:sz="24" w:space="0" w:color="000000"/>
          <w:insideH w:val="nil"/>
          <w:insideV w:val="nil"/>
        </w:tblBorders>
      </w:tblPr>
      <w:tblGrid>
        <w:gridCol w:w="1705"/>
        <w:gridCol w:w="1705"/>
        <w:gridCol w:w="1705"/>
        <w:gridCol w:w="1705"/>
        <w:gridCol w:w="1705"/>
        <w:gridCol w:w="1705"/>
      </w:tblGrid>
      <w:tr>
        <w:tc>
          <w:tcPr>
            <w:tcW w:type="dxa" w:w="1705"/>
            <w:tcBorders>
              <w:bottom w:val="single" w:sz="12" w:space="0" w:color="000000"/>
            </w:tcBorders>
          </w:tcPr>
          <w:p>
            <w:pPr>
              <w:jc w:val="center"/>
            </w:pPr>
            <w:r>
              <w:rPr>
                <w:rFonts w:ascii="Arial" w:hAnsi="Arial"/>
                <w:b/>
                <w:sz w:val="18"/>
              </w:rPr>
              <w:t>Detector</w:t>
            </w:r>
          </w:p>
        </w:tc>
        <w:tc>
          <w:tcPr>
            <w:tcW w:type="dxa" w:w="1705"/>
            <w:tcBorders>
              <w:bottom w:val="single" w:sz="12" w:space="0" w:color="000000"/>
            </w:tcBorders>
          </w:tcPr>
          <w:p>
            <w:pPr>
              <w:jc w:val="center"/>
            </w:pPr>
            <w:r>
              <w:rPr>
                <w:rFonts w:ascii="Arial" w:hAnsi="Arial"/>
                <w:b/>
                <w:sz w:val="18"/>
              </w:rPr>
              <w:t>Backbone</w:t>
            </w:r>
          </w:p>
        </w:tc>
        <w:tc>
          <w:tcPr>
            <w:tcW w:type="dxa" w:w="1705"/>
            <w:tcBorders>
              <w:bottom w:val="single" w:sz="12" w:space="0" w:color="000000"/>
            </w:tcBorders>
          </w:tcPr>
          <w:p>
            <w:pPr>
              <w:jc w:val="center"/>
            </w:pPr>
            <w:r>
              <w:rPr>
                <w:rFonts w:ascii="Arial" w:hAnsi="Arial"/>
                <w:b/>
                <w:sz w:val="18"/>
              </w:rPr>
              <w:t>$AP$</w:t>
            </w:r>
          </w:p>
        </w:tc>
        <w:tc>
          <w:tcPr>
            <w:tcW w:type="dxa" w:w="1705"/>
            <w:tcBorders>
              <w:bottom w:val="single" w:sz="12" w:space="0" w:color="000000"/>
            </w:tcBorders>
          </w:tcPr>
          <w:p>
            <w:pPr>
              <w:jc w:val="center"/>
            </w:pPr>
            <w:r>
              <w:rPr>
                <w:rFonts w:ascii="Arial" w:hAnsi="Arial"/>
                <w:b/>
                <w:sz w:val="18"/>
              </w:rPr>
              <w:t>$AP_{50}$</w:t>
            </w:r>
          </w:p>
        </w:tc>
        <w:tc>
          <w:tcPr>
            <w:tcW w:type="dxa" w:w="1705"/>
            <w:tcBorders>
              <w:bottom w:val="single" w:sz="12" w:space="0" w:color="000000"/>
            </w:tcBorders>
          </w:tcPr>
          <w:p>
            <w:pPr>
              <w:jc w:val="center"/>
            </w:pPr>
            <w:r>
              <w:rPr>
                <w:rFonts w:ascii="Arial" w:hAnsi="Arial"/>
                <w:b/>
                <w:sz w:val="18"/>
              </w:rPr>
              <w:t>$AP_{75}$</w:t>
            </w:r>
          </w:p>
        </w:tc>
        <w:tc>
          <w:tcPr>
            <w:tcW w:type="dxa" w:w="1705"/>
            <w:tcBorders>
              <w:bottom w:val="single" w:sz="12" w:space="0" w:color="000000"/>
            </w:tcBorders>
          </w:tcPr>
          <w:p>
            <w:pPr>
              <w:jc w:val="center"/>
            </w:pPr>
            <w:r>
              <w:rPr>
                <w:rFonts w:ascii="Arial" w:hAnsi="Arial"/>
                <w:b/>
                <w:sz w:val="18"/>
              </w:rPr>
              <w:t>FPS</w:t>
            </w:r>
          </w:p>
        </w:tc>
      </w:tr>
      <w:tr>
        <w:tc>
          <w:tcPr>
            <w:tcW w:type="dxa" w:w="1705"/>
          </w:tcPr>
          <w:p>
            <w:pPr>
              <w:jc w:val="center"/>
            </w:pPr>
            <w:r>
              <w:t>YOLOv3</w:t>
            </w:r>
          </w:p>
        </w:tc>
        <w:tc>
          <w:tcPr>
            <w:tcW w:type="dxa" w:w="1705"/>
          </w:tcPr>
          <w:p>
            <w:pPr>
              <w:jc w:val="center"/>
            </w:pPr>
            <w:r>
              <w:t>DarkNet-53</w:t>
            </w:r>
          </w:p>
        </w:tc>
        <w:tc>
          <w:tcPr>
            <w:tcW w:type="dxa" w:w="1705"/>
          </w:tcPr>
          <w:p>
            <w:pPr>
              <w:jc w:val="center"/>
            </w:pPr>
            <w:r>
              <w:t>33.0</w:t>
            </w:r>
          </w:p>
        </w:tc>
        <w:tc>
          <w:tcPr>
            <w:tcW w:type="dxa" w:w="1705"/>
          </w:tcPr>
          <w:p>
            <w:pPr>
              <w:jc w:val="center"/>
            </w:pPr>
            <w:r>
              <w:t>57.0</w:t>
            </w:r>
          </w:p>
        </w:tc>
        <w:tc>
          <w:tcPr>
            <w:tcW w:type="dxa" w:w="1705"/>
          </w:tcPr>
          <w:p>
            <w:pPr>
              <w:jc w:val="center"/>
            </w:pPr>
            <w:r>
              <w:t>34.4</w:t>
            </w:r>
          </w:p>
        </w:tc>
        <w:tc>
          <w:tcPr>
            <w:tcW w:type="dxa" w:w="1705"/>
          </w:tcPr>
          <w:p>
            <w:pPr>
              <w:jc w:val="center"/>
            </w:pPr>
            <w:r>
              <w:t>45</w:t>
            </w:r>
          </w:p>
        </w:tc>
      </w:tr>
      <w:tr>
        <w:tc>
          <w:tcPr>
            <w:tcW w:type="dxa" w:w="1705"/>
          </w:tcPr>
          <w:p>
            <w:pPr>
              <w:jc w:val="center"/>
            </w:pPr>
            <w:r>
              <w:t>RetinaNet</w:t>
            </w:r>
          </w:p>
        </w:tc>
        <w:tc>
          <w:tcPr>
            <w:tcW w:type="dxa" w:w="1705"/>
          </w:tcPr>
          <w:p>
            <w:pPr>
              <w:jc w:val="center"/>
            </w:pPr>
            <w:r>
              <w:t>ResNet-50</w:t>
            </w:r>
          </w:p>
        </w:tc>
        <w:tc>
          <w:tcPr>
            <w:tcW w:type="dxa" w:w="1705"/>
          </w:tcPr>
          <w:p>
            <w:pPr>
              <w:jc w:val="center"/>
            </w:pPr>
            <w:r>
              <w:t>38.7</w:t>
            </w:r>
          </w:p>
        </w:tc>
        <w:tc>
          <w:tcPr>
            <w:tcW w:type="dxa" w:w="1705"/>
          </w:tcPr>
          <w:p>
            <w:pPr>
              <w:jc w:val="center"/>
            </w:pPr>
            <w:r>
              <w:t>59.1</w:t>
            </w:r>
          </w:p>
        </w:tc>
        <w:tc>
          <w:tcPr>
            <w:tcW w:type="dxa" w:w="1705"/>
          </w:tcPr>
          <w:p>
            <w:pPr>
              <w:jc w:val="center"/>
            </w:pPr>
            <w:r>
              <w:t>41.5</w:t>
            </w:r>
          </w:p>
        </w:tc>
        <w:tc>
          <w:tcPr>
            <w:tcW w:type="dxa" w:w="1705"/>
          </w:tcPr>
          <w:p>
            <w:pPr>
              <w:jc w:val="center"/>
            </w:pPr>
            <w:r>
              <w:t>12</w:t>
            </w:r>
          </w:p>
        </w:tc>
      </w:tr>
      <w:tr>
        <w:tc>
          <w:tcPr>
            <w:tcW w:type="dxa" w:w="1705"/>
          </w:tcPr>
          <w:p>
            <w:pPr>
              <w:jc w:val="center"/>
            </w:pPr>
            <w:r>
              <w:t>Faster R-CNN</w:t>
            </w:r>
          </w:p>
        </w:tc>
        <w:tc>
          <w:tcPr>
            <w:tcW w:type="dxa" w:w="1705"/>
          </w:tcPr>
          <w:p>
            <w:pPr>
              <w:jc w:val="center"/>
            </w:pPr>
            <w:r>
              <w:t>ResNet-50</w:t>
            </w:r>
          </w:p>
        </w:tc>
        <w:tc>
          <w:tcPr>
            <w:tcW w:type="dxa" w:w="1705"/>
          </w:tcPr>
          <w:p>
            <w:pPr>
              <w:jc w:val="center"/>
            </w:pPr>
            <w:r>
              <w:t>40.3</w:t>
            </w:r>
          </w:p>
        </w:tc>
        <w:tc>
          <w:tcPr>
            <w:tcW w:type="dxa" w:w="1705"/>
          </w:tcPr>
          <w:p>
            <w:pPr>
              <w:jc w:val="center"/>
            </w:pPr>
            <w:r>
              <w:t>61.0</w:t>
            </w:r>
          </w:p>
        </w:tc>
        <w:tc>
          <w:tcPr>
            <w:tcW w:type="dxa" w:w="1705"/>
          </w:tcPr>
          <w:p>
            <w:pPr>
              <w:jc w:val="center"/>
            </w:pPr>
            <w:r>
              <w:t>43.4</w:t>
            </w:r>
          </w:p>
        </w:tc>
        <w:tc>
          <w:tcPr>
            <w:tcW w:type="dxa" w:w="1705"/>
          </w:tcPr>
          <w:p>
            <w:pPr>
              <w:jc w:val="center"/>
            </w:pPr>
            <w:r>
              <w:t>8</w:t>
            </w:r>
          </w:p>
        </w:tc>
      </w:tr>
      <w:tr>
        <w:tc>
          <w:tcPr>
            <w:tcW w:type="dxa" w:w="1705"/>
          </w:tcPr>
          <w:p>
            <w:pPr>
              <w:jc w:val="center"/>
            </w:pPr>
            <w:r>
              <w:t>Cascade R-CNN</w:t>
            </w:r>
          </w:p>
        </w:tc>
        <w:tc>
          <w:tcPr>
            <w:tcW w:type="dxa" w:w="1705"/>
          </w:tcPr>
          <w:p>
            <w:pPr>
              <w:jc w:val="center"/>
            </w:pPr>
            <w:r>
              <w:t>Swin-T</w:t>
            </w:r>
          </w:p>
        </w:tc>
        <w:tc>
          <w:tcPr>
            <w:tcW w:type="dxa" w:w="1705"/>
          </w:tcPr>
          <w:p>
            <w:pPr>
              <w:jc w:val="center"/>
            </w:pPr>
            <w:r>
              <w:t>49.0</w:t>
            </w:r>
          </w:p>
        </w:tc>
        <w:tc>
          <w:tcPr>
            <w:tcW w:type="dxa" w:w="1705"/>
          </w:tcPr>
          <w:p>
            <w:pPr>
              <w:jc w:val="center"/>
            </w:pPr>
            <w:r>
              <w:t>67.8</w:t>
            </w:r>
          </w:p>
        </w:tc>
        <w:tc>
          <w:tcPr>
            <w:tcW w:type="dxa" w:w="1705"/>
          </w:tcPr>
          <w:p>
            <w:pPr>
              <w:jc w:val="center"/>
            </w:pPr>
            <w:r>
              <w:t>53.7</w:t>
            </w:r>
          </w:p>
        </w:tc>
        <w:tc>
          <w:tcPr>
            <w:tcW w:type="dxa" w:w="1705"/>
          </w:tcPr>
          <w:p>
            <w:pPr>
              <w:jc w:val="center"/>
            </w:pPr>
            <w:r>
              <w:t>12</w:t>
            </w:r>
          </w:p>
        </w:tc>
      </w:tr>
      <w:tr>
        <w:tc>
          <w:tcPr>
            <w:tcW w:type="dxa" w:w="1705"/>
          </w:tcPr>
          <w:p>
            <w:pPr>
              <w:jc w:val="center"/>
            </w:pPr>
            <w:r>
              <w:t>Ours</w:t>
            </w:r>
          </w:p>
        </w:tc>
        <w:tc>
          <w:tcPr>
            <w:tcW w:type="dxa" w:w="1705"/>
          </w:tcPr>
          <w:p>
            <w:pPr>
              <w:jc w:val="center"/>
            </w:pPr>
            <w:r>
              <w:t>Ours</w:t>
            </w:r>
          </w:p>
        </w:tc>
        <w:tc>
          <w:tcPr>
            <w:tcW w:type="dxa" w:w="1705"/>
          </w:tcPr>
          <w:p>
            <w:pPr>
              <w:jc w:val="center"/>
            </w:pPr>
            <w:r>
              <w:t>52.3</w:t>
            </w:r>
          </w:p>
        </w:tc>
        <w:tc>
          <w:tcPr>
            <w:tcW w:type="dxa" w:w="1705"/>
          </w:tcPr>
          <w:p>
            <w:pPr>
              <w:jc w:val="center"/>
            </w:pPr>
            <w:r>
              <w:t>71.2</w:t>
            </w:r>
          </w:p>
        </w:tc>
        <w:tc>
          <w:tcPr>
            <w:tcW w:type="dxa" w:w="1705"/>
          </w:tcPr>
          <w:p>
            <w:pPr>
              <w:jc w:val="center"/>
            </w:pPr>
            <w:r>
              <w:t>57.1</w:t>
            </w:r>
          </w:p>
        </w:tc>
        <w:tc>
          <w:tcPr>
            <w:tcW w:type="dxa" w:w="1705"/>
          </w:tcPr>
          <w:p>
            <w:pPr>
              <w:jc w:val="center"/>
            </w:pPr>
            <w:r>
              <w:t>15</w:t>
            </w:r>
          </w:p>
        </w:tc>
      </w:tr>
    </w:tbl>
    <w:p>
      <w:pPr>
        <w:jc w:val="center"/>
      </w:pPr>
      <w:r>
        <w:drawing>
          <wp:inline xmlns:a="http://schemas.openxmlformats.org/drawingml/2006/main" xmlns:pic="http://schemas.openxmlformats.org/drawingml/2006/picture">
            <wp:extent cx="2952000" cy="88758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624560" cy="4096512"/>
                    </a:xfrm>
                    <a:prstGeom prst="rect"/>
                  </pic:spPr>
                </pic:pic>
              </a:graphicData>
            </a:graphic>
          </wp:inline>
        </w:drawing>
      </w:r>
    </w:p>
    <w:p>
      <w:pPr>
        <w:spacing w:before="60" w:after="240" w:line="240" w:lineRule="auto"/>
        <w:ind w:firstLine="0" w:left="0"/>
        <w:jc w:val="center"/>
      </w:pPr>
      <w:r>
        <w:rPr>
          <w:rFonts w:ascii="Times New Roman" w:hAnsi="Times New Roman" w:eastAsia="SimSun"/>
          <w:i/>
          <w:sz w:val="18"/>
        </w:rPr>
        <w:t>Fig.3: Figure 3: Qualitative object detection results on MS COCO. Our method accurately detects and classifies objects across various scales and occlusion levels</w:t>
      </w:r>
    </w:p>
    <w:p>
      <w:pPr>
        <w:spacing w:before="240" w:after="60" w:line="240" w:lineRule="auto"/>
        <w:ind w:firstLine="0" w:left="0"/>
        <w:jc w:val="left"/>
      </w:pPr>
      <w:r>
        <w:rPr>
          <w:rFonts w:ascii="Times New Roman" w:hAnsi="Times New Roman" w:eastAsia="SimSun"/>
          <w:b/>
          <w:sz w:val="22"/>
        </w:rPr>
        <w:t>4.3 Semantic Segmentation</w:t>
      </w:r>
    </w:p>
    <w:p>
      <w:pPr>
        <w:spacing w:before="0" w:after="0" w:line="276" w:lineRule="auto"/>
        <w:ind w:firstLine="420" w:left="0"/>
        <w:jc w:val="both"/>
      </w:pPr>
      <w:r>
        <w:rPr>
          <w:rFonts w:ascii="Times New Roman" w:hAnsi="Times New Roman" w:eastAsia="SimSun"/>
          <w:sz w:val="20"/>
        </w:rPr>
        <w:t>We conduct experiments on ADE20K for semantic segmentation. The metrics include mean Intersection over Union (mIoU) and pixel accuracy.</w:t>
      </w:r>
    </w:p>
    <w:p>
      <w:pPr>
        <w:spacing w:before="0" w:after="0" w:line="276" w:lineRule="auto"/>
        <w:ind w:firstLine="420" w:left="0"/>
        <w:jc w:val="both"/>
      </w:pPr>
      <w:r>
        <w:rPr>
          <w:rFonts w:ascii="Times New Roman" w:hAnsi="Times New Roman" w:eastAsia="SimSun"/>
          <w:sz w:val="20"/>
        </w:rPr>
        <w:t>The mathematical formulation of mIoU is:</w:t>
      </w:r>
    </w:p>
    <w:p>
      <w:pPr>
        <w:spacing w:before="120" w:after="120" w:line="360" w:lineRule="auto"/>
        <w:ind w:firstLine="0" w:left="0"/>
        <w:jc w:val="center"/>
      </w:pPr>
      <m:oMathPara>
        <m:oMath>
          <m:r>
            <m:t>mIoU</m:t>
          </m:r>
          <m:r>
            <m:t> = </m:t>
          </m:r>
          <m:f>
            <m:fPr>
              <m:fType m:val="bar"/>
            </m:fPr>
            <m:num>
              <m:r>
                <m:t>1</m:t>
              </m:r>
            </m:num>
            <m:den>
              <m:r>
                <m:t>K</m:t>
              </m:r>
            </m:den>
          </m:f>
          <m:r>
            <m:t> </m:t>
          </m:r>
          <m:sSup>
            <m:e>
              <m:sSub>
                <m:e>
                  <m:r>
                    <m:t>∑</m:t>
                  </m:r>
                </m:e>
                <m:sub>
                  <m:r>
                    <m:t>k=1</m:t>
                  </m:r>
                </m:sub>
              </m:sSub>
            </m:e>
            <m:sup>
              <m:r>
                <m:t>K</m:t>
              </m:r>
            </m:sup>
          </m:sSup>
          <m:r>
            <m:t> </m:t>
          </m:r>
          <m:f>
            <m:fPr>
              <m:fType m:val="bar"/>
            </m:fPr>
            <m:num>
              <m:sSub>
                <m:e>
                  <m:r>
                    <m:t>TP</m:t>
                  </m:r>
                </m:e>
                <m:sub>
                  <m:r>
                    <m:t>k</m:t>
                  </m:r>
                </m:sub>
              </m:sSub>
            </m:num>
            <m:den>
              <m:sSub>
                <m:e>
                  <m:r>
                    <m:t>TP</m:t>
                  </m:r>
                </m:e>
                <m:sub>
                  <m:r>
                    <m:t>k</m:t>
                  </m:r>
                </m:sub>
              </m:sSub>
              <m:sSub>
                <m:e>
                  <m:r>
                    <m:t> + FP</m:t>
                  </m:r>
                </m:e>
                <m:sub>
                  <m:r>
                    <m:t>k</m:t>
                  </m:r>
                </m:sub>
              </m:sSub>
              <m:sSub>
                <m:e>
                  <m:r>
                    <m:t> + FN</m:t>
                  </m:r>
                </m:e>
                <m:sub>
                  <m:r>
                    <m:t>k</m:t>
                  </m:r>
                </m:sub>
              </m:sSub>
            </m:den>
          </m:f>
        </m:oMath>
      </m:oMathPara>
      <w:r>
        <w:tab/>
      </w:r>
      <w:r>
        <w:t>(12)</w:t>
      </w:r>
    </w:p>
    <w:p>
      <w:pPr>
        <w:spacing w:before="0" w:after="0" w:line="276" w:lineRule="auto"/>
        <w:ind w:firstLine="420" w:left="0"/>
        <w:jc w:val="both"/>
      </w:pPr>
      <w:r>
        <w:rPr>
          <w:rFonts w:ascii="Times New Roman" w:hAnsi="Times New Roman" w:eastAsia="SimSun"/>
          <w:sz w:val="20"/>
        </w:rPr>
        <w:t xml:space="preserve">where </w:t>
      </w:r>
      <m:oMath>
        <m:r>
          <m:t>K</m:t>
        </m:r>
      </m:oMath>
      <w:r>
        <w:rPr>
          <w:rFonts w:ascii="Times New Roman" w:hAnsi="Times New Roman" w:eastAsia="SimSun"/>
          <w:sz w:val="20"/>
        </w:rPr>
        <w:t xml:space="preserve"> is the number of classes, and </w:t>
      </w:r>
      <m:oMath>
        <m:sSub>
          <m:e>
            <m:r>
              <m:t>TP</m:t>
            </m:r>
          </m:e>
          <m:sub>
            <m:r>
              <m:t>k</m:t>
            </m:r>
          </m:sub>
        </m:sSub>
      </m:oMath>
      <w:r>
        <w:rPr>
          <w:rFonts w:ascii="Times New Roman" w:hAnsi="Times New Roman" w:eastAsia="SimSun"/>
          <w:sz w:val="20"/>
        </w:rPr>
        <w:t xml:space="preserve">, </w:t>
      </w:r>
      <m:oMath>
        <m:sSub>
          <m:e>
            <m:r>
              <m:t>FP</m:t>
            </m:r>
          </m:e>
          <m:sub>
            <m:r>
              <m:t>k</m:t>
            </m:r>
          </m:sub>
        </m:sSub>
      </m:oMath>
      <w:r>
        <w:rPr>
          <w:rFonts w:ascii="Times New Roman" w:hAnsi="Times New Roman" w:eastAsia="SimSun"/>
          <w:sz w:val="20"/>
        </w:rPr>
        <w:t xml:space="preserve">, </w:t>
      </w:r>
      <m:oMath>
        <m:sSub>
          <m:e>
            <m:r>
              <m:t>FN</m:t>
            </m:r>
          </m:e>
          <m:sub>
            <m:r>
              <m:t>k</m:t>
            </m:r>
          </m:sub>
        </m:sSub>
      </m:oMath>
      <w:r>
        <w:rPr>
          <w:rFonts w:ascii="Times New Roman" w:hAnsi="Times New Roman" w:eastAsia="SimSun"/>
          <w:sz w:val="20"/>
        </w:rPr>
        <w:t xml:space="preserve"> are true positives, false positives, and false negatives for class </w:t>
      </w:r>
      <m:oMath>
        <m:r>
          <m:t>k</m:t>
        </m:r>
      </m:oMath>
      <w:r>
        <w:rPr>
          <w:rFonts w:ascii="Times New Roman" w:hAnsi="Times New Roman" w:eastAsia="SimSun"/>
          <w:sz w:val="20"/>
        </w:rPr>
        <w:t xml:space="preserve"> respectively.</w:t>
      </w:r>
    </w:p>
    <w:p>
      <w:pPr>
        <w:spacing w:before="240" w:after="60" w:line="240" w:lineRule="auto"/>
        <w:ind w:firstLine="0" w:left="0"/>
        <w:jc w:val="left"/>
      </w:pPr>
      <w:r>
        <w:rPr>
          <w:rFonts w:ascii="Times New Roman" w:hAnsi="Times New Roman" w:eastAsia="SimSun"/>
          <w:b/>
          <w:sz w:val="22"/>
        </w:rPr>
        <w:t>4.4 Ablation Studies</w:t>
      </w:r>
    </w:p>
    <w:p>
      <w:pPr>
        <w:spacing w:before="0" w:after="0" w:line="276" w:lineRule="auto"/>
        <w:ind w:firstLine="420" w:left="0"/>
        <w:jc w:val="both"/>
      </w:pPr>
      <w:r>
        <w:rPr>
          <w:rFonts w:ascii="Times New Roman" w:hAnsi="Times New Roman" w:eastAsia="SimSun"/>
          <w:sz w:val="20"/>
        </w:rPr>
        <w:t>We perform ablation studies to analyze the contribution of each component. The results are summarized in Table 3.</w:t>
      </w:r>
    </w:p>
    <w:p>
      <w:pPr>
        <w:spacing w:before="0" w:after="60" w:line="240" w:lineRule="auto"/>
        <w:ind w:firstLine="0" w:left="0"/>
        <w:jc w:val="center"/>
      </w:pPr>
      <w:r>
        <w:t>Table 3: Ablation study on ImageNet. Adding each component progressively improves performance, with attention providing the largest gain (+2.7%).</w:t>
      </w:r>
    </w:p>
    <w:tbl>
      <w:tblPr>
        <w:tblW w:type="auto" w:w="0"/>
        <w:tblLook w:firstColumn="1" w:firstRow="1" w:lastColumn="0" w:lastRow="0" w:noHBand="0" w:noVBand="1" w:val="04A0"/>
        <w:tblBorders>
          <w:top w:val="single" w:sz="24" w:space="0" w:color="000000"/>
          <w:bottom w:val="single" w:sz="24" w:space="0" w:color="000000"/>
          <w:insideH w:val="nil"/>
          <w:insideV w:val="nil"/>
        </w:tblBorders>
      </w:tblPr>
      <w:tblGrid>
        <w:gridCol w:w="1705"/>
        <w:gridCol w:w="1705"/>
        <w:gridCol w:w="1705"/>
        <w:gridCol w:w="1705"/>
        <w:gridCol w:w="1705"/>
        <w:gridCol w:w="1705"/>
      </w:tblGrid>
      <w:tr>
        <w:tc>
          <w:tcPr>
            <w:tcW w:type="dxa" w:w="1705"/>
            <w:tcBorders>
              <w:bottom w:val="single" w:sz="12" w:space="0" w:color="000000"/>
            </w:tcBorders>
          </w:tcPr>
          <w:p>
            <w:pPr>
              <w:jc w:val="center"/>
            </w:pPr>
            <w:r>
              <w:rPr>
                <w:rFonts w:ascii="Arial" w:hAnsi="Arial"/>
                <w:b/>
                <w:sz w:val="18"/>
              </w:rPr>
              <w:t>Configuration</w:t>
            </w:r>
          </w:p>
        </w:tc>
        <w:tc>
          <w:tcPr>
            <w:tcW w:type="dxa" w:w="1705"/>
            <w:tcBorders>
              <w:bottom w:val="single" w:sz="12" w:space="0" w:color="000000"/>
            </w:tcBorders>
          </w:tcPr>
          <w:p>
            <w:pPr>
              <w:jc w:val="center"/>
            </w:pPr>
            <w:r>
              <w:rPr>
                <w:rFonts w:ascii="Arial" w:hAnsi="Arial"/>
                <w:b/>
                <w:sz w:val="18"/>
              </w:rPr>
              <w:t>Base</w:t>
            </w:r>
          </w:p>
        </w:tc>
        <w:tc>
          <w:tcPr>
            <w:tcW w:type="dxa" w:w="1705"/>
            <w:tcBorders>
              <w:bottom w:val="single" w:sz="12" w:space="0" w:color="000000"/>
            </w:tcBorders>
          </w:tcPr>
          <w:p>
            <w:pPr>
              <w:jc w:val="center"/>
            </w:pPr>
            <w:r>
              <w:rPr>
                <w:rFonts w:ascii="Arial" w:hAnsi="Arial"/>
                <w:b/>
                <w:sz w:val="18"/>
              </w:rPr>
              <w:t>+Attn</w:t>
            </w:r>
          </w:p>
        </w:tc>
        <w:tc>
          <w:tcPr>
            <w:tcW w:type="dxa" w:w="1705"/>
            <w:tcBorders>
              <w:bottom w:val="single" w:sz="12" w:space="0" w:color="000000"/>
            </w:tcBorders>
          </w:tcPr>
          <w:p>
            <w:pPr>
              <w:jc w:val="center"/>
            </w:pPr>
            <w:r>
              <w:rPr>
                <w:rFonts w:ascii="Arial" w:hAnsi="Arial"/>
                <w:b/>
                <w:sz w:val="18"/>
              </w:rPr>
              <w:t>+MLP</w:t>
            </w:r>
          </w:p>
        </w:tc>
        <w:tc>
          <w:tcPr>
            <w:tcW w:type="dxa" w:w="1705"/>
            <w:tcBorders>
              <w:bottom w:val="single" w:sz="12" w:space="0" w:color="000000"/>
            </w:tcBorders>
          </w:tcPr>
          <w:p>
            <w:pPr>
              <w:jc w:val="center"/>
            </w:pPr>
            <w:r>
              <w:rPr>
                <w:rFonts w:ascii="Arial" w:hAnsi="Arial"/>
                <w:b/>
                <w:sz w:val="18"/>
              </w:rPr>
              <w:t>+Norm</w:t>
            </w:r>
          </w:p>
        </w:tc>
        <w:tc>
          <w:tcPr>
            <w:tcW w:type="dxa" w:w="1705"/>
            <w:tcBorders>
              <w:bottom w:val="single" w:sz="12" w:space="0" w:color="000000"/>
            </w:tcBorders>
          </w:tcPr>
          <w:p>
            <w:pPr>
              <w:jc w:val="center"/>
            </w:pPr>
            <w:r>
              <w:rPr>
                <w:rFonts w:ascii="Arial" w:hAnsi="Arial"/>
                <w:b/>
                <w:sz w:val="18"/>
              </w:rPr>
              <w:t>Final</w:t>
            </w:r>
          </w:p>
        </w:tc>
      </w:tr>
      <w:tr>
        <w:tc>
          <w:tcPr>
            <w:tcW w:type="dxa" w:w="1705"/>
          </w:tcPr>
          <w:p>
            <w:pPr>
              <w:jc w:val="center"/>
            </w:pPr>
            <w:r>
              <w:t>Baseline</w:t>
            </w:r>
          </w:p>
        </w:tc>
        <w:tc>
          <w:tcPr>
            <w:tcW w:type="dxa" w:w="1705"/>
          </w:tcPr>
          <w:p>
            <w:pPr>
              <w:jc w:val="center"/>
            </w:pPr>
            <w:r>
              <w:t>78.5</w:t>
            </w:r>
          </w:p>
        </w:tc>
        <w:tc>
          <w:tcPr>
            <w:tcW w:type="dxa" w:w="1705"/>
          </w:tcPr>
          <w:p>
            <w:pPr>
              <w:jc w:val="center"/>
            </w:pPr>
            <w:r>
              <w:t>-</w:t>
            </w:r>
          </w:p>
        </w:tc>
        <w:tc>
          <w:tcPr>
            <w:tcW w:type="dxa" w:w="1705"/>
          </w:tcPr>
          <w:p>
            <w:pPr>
              <w:jc w:val="center"/>
            </w:pPr>
            <w:r>
              <w:t>-</w:t>
            </w:r>
          </w:p>
        </w:tc>
        <w:tc>
          <w:tcPr>
            <w:tcW w:type="dxa" w:w="1705"/>
          </w:tcPr>
          <w:p>
            <w:pPr>
              <w:jc w:val="center"/>
            </w:pPr>
            <w:r>
              <w:t>-</w:t>
            </w:r>
          </w:p>
        </w:tc>
        <w:tc>
          <w:tcPr>
            <w:tcW w:type="dxa" w:w="1705"/>
          </w:tcPr>
          <w:p>
            <w:pPr>
              <w:jc w:val="center"/>
            </w:pPr>
            <w:r>
              <w:t>-</w:t>
            </w:r>
          </w:p>
        </w:tc>
      </w:tr>
      <w:tr>
        <w:tc>
          <w:tcPr>
            <w:tcW w:type="dxa" w:w="1705"/>
          </w:tcPr>
          <w:p>
            <w:pPr>
              <w:jc w:val="center"/>
            </w:pPr>
            <w:r>
              <w:t>+ Attention</w:t>
            </w:r>
          </w:p>
        </w:tc>
        <w:tc>
          <w:tcPr>
            <w:tcW w:type="dxa" w:w="1705"/>
          </w:tcPr>
          <w:p>
            <w:pPr>
              <w:jc w:val="center"/>
            </w:pPr>
            <w:r>
              <w:t>78.5</w:t>
            </w:r>
          </w:p>
        </w:tc>
        <w:tc>
          <w:tcPr>
            <w:tcW w:type="dxa" w:w="1705"/>
          </w:tcPr>
          <w:p>
            <w:pPr>
              <w:jc w:val="center"/>
            </w:pPr>
            <w:r>
              <w:t>81.2</w:t>
            </w:r>
          </w:p>
        </w:tc>
        <w:tc>
          <w:tcPr>
            <w:tcW w:type="dxa" w:w="1705"/>
          </w:tcPr>
          <w:p>
            <w:pPr>
              <w:jc w:val="center"/>
            </w:pPr>
            <w:r>
              <w:t>-</w:t>
            </w:r>
          </w:p>
        </w:tc>
        <w:tc>
          <w:tcPr>
            <w:tcW w:type="dxa" w:w="1705"/>
          </w:tcPr>
          <w:p>
            <w:pPr>
              <w:jc w:val="center"/>
            </w:pPr>
            <w:r>
              <w:t>-</w:t>
            </w:r>
          </w:p>
        </w:tc>
        <w:tc>
          <w:tcPr>
            <w:tcW w:type="dxa" w:w="1705"/>
          </w:tcPr>
          <w:p>
            <w:pPr>
              <w:jc w:val="center"/>
            </w:pPr>
            <w:r>
              <w:t>81.2</w:t>
            </w:r>
          </w:p>
        </w:tc>
      </w:tr>
      <w:tr>
        <w:tc>
          <w:tcPr>
            <w:tcW w:type="dxa" w:w="1705"/>
          </w:tcPr>
          <w:p>
            <w:pPr>
              <w:jc w:val="center"/>
            </w:pPr>
            <w:r>
              <w:t>+ MLP</w:t>
            </w:r>
          </w:p>
        </w:tc>
        <w:tc>
          <w:tcPr>
            <w:tcW w:type="dxa" w:w="1705"/>
          </w:tcPr>
          <w:p>
            <w:pPr>
              <w:jc w:val="center"/>
            </w:pPr>
            <w:r>
              <w:t>78.5</w:t>
            </w:r>
          </w:p>
        </w:tc>
        <w:tc>
          <w:tcPr>
            <w:tcW w:type="dxa" w:w="1705"/>
          </w:tcPr>
          <w:p>
            <w:pPr>
              <w:jc w:val="center"/>
            </w:pPr>
            <w:r>
              <w:t>81.2</w:t>
            </w:r>
          </w:p>
        </w:tc>
        <w:tc>
          <w:tcPr>
            <w:tcW w:type="dxa" w:w="1705"/>
          </w:tcPr>
          <w:p>
            <w:pPr>
              <w:jc w:val="center"/>
            </w:pPr>
            <w:r>
              <w:t>82.8</w:t>
            </w:r>
          </w:p>
        </w:tc>
        <w:tc>
          <w:tcPr>
            <w:tcW w:type="dxa" w:w="1705"/>
          </w:tcPr>
          <w:p>
            <w:pPr>
              <w:jc w:val="center"/>
            </w:pPr>
            <w:r>
              <w:t>-</w:t>
            </w:r>
          </w:p>
        </w:tc>
        <w:tc>
          <w:tcPr>
            <w:tcW w:type="dxa" w:w="1705"/>
          </w:tcPr>
          <w:p>
            <w:pPr>
              <w:jc w:val="center"/>
            </w:pPr>
            <w:r>
              <w:t>82.8</w:t>
            </w:r>
          </w:p>
        </w:tc>
      </w:tr>
      <w:tr>
        <w:tc>
          <w:tcPr>
            <w:tcW w:type="dxa" w:w="1705"/>
          </w:tcPr>
          <w:p>
            <w:pPr>
              <w:jc w:val="center"/>
            </w:pPr>
            <w:r>
              <w:t>+ Norm</w:t>
            </w:r>
          </w:p>
        </w:tc>
        <w:tc>
          <w:tcPr>
            <w:tcW w:type="dxa" w:w="1705"/>
          </w:tcPr>
          <w:p>
            <w:pPr>
              <w:jc w:val="center"/>
            </w:pPr>
            <w:r>
              <w:t>78.5</w:t>
            </w:r>
          </w:p>
        </w:tc>
        <w:tc>
          <w:tcPr>
            <w:tcW w:type="dxa" w:w="1705"/>
          </w:tcPr>
          <w:p>
            <w:pPr>
              <w:jc w:val="center"/>
            </w:pPr>
            <w:r>
              <w:t>81.2</w:t>
            </w:r>
          </w:p>
        </w:tc>
        <w:tc>
          <w:tcPr>
            <w:tcW w:type="dxa" w:w="1705"/>
          </w:tcPr>
          <w:p>
            <w:pPr>
              <w:jc w:val="center"/>
            </w:pPr>
            <w:r>
              <w:t>82.8</w:t>
            </w:r>
          </w:p>
        </w:tc>
        <w:tc>
          <w:tcPr>
            <w:tcW w:type="dxa" w:w="1705"/>
          </w:tcPr>
          <w:p>
            <w:pPr>
              <w:jc w:val="center"/>
            </w:pPr>
            <w:r>
              <w:t>83.5</w:t>
            </w:r>
          </w:p>
        </w:tc>
        <w:tc>
          <w:tcPr>
            <w:tcW w:type="dxa" w:w="1705"/>
          </w:tcPr>
          <w:p>
            <w:pPr>
              <w:jc w:val="center"/>
            </w:pPr>
            <w:r>
              <w:t>83.5</w:t>
            </w:r>
          </w:p>
        </w:tc>
      </w:tr>
    </w:tbl>
    <w:p>
      <w:pPr>
        <w:spacing w:before="360" w:after="120" w:line="240" w:lineRule="auto"/>
        <w:ind w:firstLine="0" w:left="0"/>
        <w:jc w:val="left"/>
      </w:pPr>
      <w:r>
        <w:rPr>
          <w:rFonts w:ascii="Times New Roman" w:hAnsi="Times New Roman" w:eastAsia="SimSun"/>
          <w:b/>
          <w:sz w:val="24"/>
        </w:rPr>
        <w:t>5. Model Architectures</w:t>
      </w:r>
    </w:p>
    <w:p>
      <w:pPr>
        <w:spacing w:before="240" w:after="60" w:line="240" w:lineRule="auto"/>
        <w:ind w:firstLine="0" w:left="0"/>
        <w:jc w:val="left"/>
      </w:pPr>
      <w:r>
        <w:rPr>
          <w:rFonts w:ascii="Times New Roman" w:hAnsi="Times New Roman" w:eastAsia="SimSun"/>
          <w:b/>
          <w:sz w:val="22"/>
        </w:rPr>
        <w:t>5.1 Residual Networks</w:t>
      </w:r>
    </w:p>
    <w:p>
      <w:pPr>
        <w:spacing w:before="0" w:after="0" w:line="276" w:lineRule="auto"/>
        <w:ind w:firstLine="420" w:left="0"/>
        <w:jc w:val="both"/>
      </w:pPr>
      <w:r>
        <w:rPr>
          <w:rFonts w:ascii="Times New Roman" w:hAnsi="Times New Roman" w:eastAsia="SimSun"/>
          <w:sz w:val="20"/>
        </w:rPr>
        <w:t>Residual Networks (ResNet) introduced skip connections to address the degradation problem in very deep networks. The core building block is:</w:t>
      </w:r>
    </w:p>
    <w:p>
      <w:pPr>
        <w:spacing w:before="120" w:after="120" w:line="360" w:lineRule="auto"/>
        <w:ind w:firstLine="0" w:left="0"/>
        <w:jc w:val="center"/>
      </w:pPr>
      <m:oMathPara>
        <m:oMath>
          <m:r>
            <m:t>y = </m:t>
          </m:r>
          <m:r>
            <m:rPr>
              <m:scr m:val="script"/>
            </m:rPr>
            <m:t>F</m:t>
          </m:r>
          <m:r>
            <m:t>(x, </m:t>
          </m:r>
          <m:sSub>
            <m:e>
              <m:r>
                <m:t>W</m:t>
              </m:r>
            </m:e>
            <m:sub>
              <m:r>
                <m:t>i</m:t>
              </m:r>
            </m:sub>
          </m:sSub>
          <m:r>
            <m:t>) + x</m:t>
          </m:r>
        </m:oMath>
      </m:oMathPara>
      <w:r>
        <w:tab/>
      </w:r>
      <w:r>
        <w:t>(13)</w:t>
      </w:r>
    </w:p>
    <w:p>
      <w:pPr>
        <w:spacing w:before="0" w:after="0" w:line="276" w:lineRule="auto"/>
        <w:ind w:firstLine="420" w:left="0"/>
        <w:jc w:val="both"/>
      </w:pPr>
      <w:r>
        <w:rPr>
          <w:rFonts w:ascii="Times New Roman" w:hAnsi="Times New Roman" w:eastAsia="SimSun"/>
          <w:sz w:val="20"/>
        </w:rPr>
        <w:t xml:space="preserve">where </w:t>
      </w:r>
      <m:oMath>
        <m:r>
          <m:t>x</m:t>
        </m:r>
      </m:oMath>
      <w:r>
        <w:rPr>
          <w:rFonts w:ascii="Times New Roman" w:hAnsi="Times New Roman" w:eastAsia="SimSun"/>
          <w:sz w:val="20"/>
        </w:rPr>
        <w:t xml:space="preserve"> and </w:t>
      </w:r>
      <m:oMath>
        <m:r>
          <m:t>y</m:t>
        </m:r>
      </m:oMath>
      <w:r>
        <w:rPr>
          <w:rFonts w:ascii="Times New Roman" w:hAnsi="Times New Roman" w:eastAsia="SimSun"/>
          <w:sz w:val="20"/>
        </w:rPr>
        <w:t xml:space="preserve"> are the input and output, and </w:t>
      </w:r>
      <m:oMath>
        <m:r>
          <m:rPr>
            <m:scr m:val="script"/>
          </m:rPr>
          <m:t>F</m:t>
        </m:r>
      </m:oMath>
      <w:r>
        <w:rPr>
          <w:rFonts w:ascii="Times New Roman" w:hAnsi="Times New Roman" w:eastAsia="SimSun"/>
          <w:sz w:val="20"/>
        </w:rPr>
        <w:t xml:space="preserve"> is the residual function to be learned.</w:t>
      </w:r>
    </w:p>
    <w:p>
      <w:pPr>
        <w:jc w:val="center"/>
      </w:pPr>
      <w:r>
        <w:drawing>
          <wp:inline xmlns:a="http://schemas.openxmlformats.org/drawingml/2006/main" xmlns:pic="http://schemas.openxmlformats.org/drawingml/2006/picture">
            <wp:extent cx="2952000" cy="177040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015984" cy="5407152"/>
                    </a:xfrm>
                    <a:prstGeom prst="rect"/>
                  </pic:spPr>
                </pic:pic>
              </a:graphicData>
            </a:graphic>
          </wp:inline>
        </w:drawing>
      </w:r>
    </w:p>
    <w:p>
      <w:pPr>
        <w:spacing w:before="60" w:after="240" w:line="240" w:lineRule="auto"/>
        <w:ind w:firstLine="0" w:left="0"/>
        <w:jc w:val="center"/>
      </w:pPr>
      <w:r>
        <w:rPr>
          <w:rFonts w:ascii="Times New Roman" w:hAnsi="Times New Roman" w:eastAsia="SimSun"/>
          <w:i/>
          <w:sz w:val="18"/>
        </w:rPr>
        <w:t>Fig.4: Figure 4: ResNet architecture with skip connections. The residual learning framework enables training of very deep networks by providing an alternative gradient path. Each stage consists of multiple residual blocks with downsampling between stages.</w:t>
      </w:r>
    </w:p>
    <w:p>
      <w:pPr>
        <w:spacing w:before="240" w:after="60" w:line="240" w:lineRule="auto"/>
        <w:ind w:firstLine="0" w:left="0"/>
        <w:jc w:val="left"/>
      </w:pPr>
      <w:r>
        <w:rPr>
          <w:rFonts w:ascii="Times New Roman" w:hAnsi="Times New Roman" w:eastAsia="SimSun"/>
          <w:b/>
          <w:sz w:val="22"/>
        </w:rPr>
        <w:t>5.2 Efficient Networks</w:t>
      </w:r>
    </w:p>
    <w:p>
      <w:pPr>
        <w:spacing w:before="0" w:after="0" w:line="276" w:lineRule="auto"/>
        <w:ind w:firstLine="420" w:left="0"/>
        <w:jc w:val="both"/>
      </w:pPr>
      <w:r>
        <w:rPr>
          <w:rFonts w:ascii="Times New Roman" w:hAnsi="Times New Roman" w:eastAsia="SimSun"/>
          <w:sz w:val="20"/>
        </w:rPr>
        <w:t>Efficient networks like EfficientNet achieve better accuracy-efficiency trade-offs through compound scaling:</w:t>
      </w:r>
    </w:p>
    <w:p>
      <w:pPr>
        <w:spacing w:before="120" w:after="120" w:line="360" w:lineRule="auto"/>
        <w:ind w:firstLine="0" w:left="0"/>
        <w:jc w:val="center"/>
      </w:pPr>
      <m:oMathPara>
        <m:oMath>
          <m:r>
            <m:t>depth</m:t>
          </m:r>
          <m:r>
            <m:t> d = </m:t>
          </m:r>
          <m:sSup>
            <m:e>
              <m:r>
                <m:t>α</m:t>
              </m:r>
            </m:e>
            <m:sup>
              <m:r>
                <m:t>φ</m:t>
              </m:r>
            </m:sup>
          </m:sSup>
          <m:r>
            <m:t> </m:t>
          </m:r>
          <m:r>
            <m:t> </m:t>
          </m:r>
          <m:r>
            <m:t>width</m:t>
          </m:r>
          <m:r>
            <m:t> w = </m:t>
          </m:r>
          <m:sSup>
            <m:e>
              <m:r>
                <m:t>β</m:t>
              </m:r>
            </m:e>
            <m:sup>
              <m:r>
                <m:t>φ</m:t>
              </m:r>
            </m:sup>
          </m:sSup>
          <m:r>
            <m:t> </m:t>
          </m:r>
          <m:r>
            <m:t> </m:t>
          </m:r>
          <m:r>
            <m:t>resolution</m:t>
          </m:r>
          <m:r>
            <m:t> r = </m:t>
          </m:r>
          <m:sSup>
            <m:e>
              <m:r>
                <m:t>γ</m:t>
              </m:r>
            </m:e>
            <m:sup>
              <m:r>
                <m:t>φ</m:t>
              </m:r>
            </m:sup>
          </m:sSup>
        </m:oMath>
      </m:oMathPara>
      <w:r>
        <w:tab/>
      </w:r>
      <w:r>
        <w:t>(14)</w:t>
      </w:r>
    </w:p>
    <w:p>
      <w:pPr>
        <w:spacing w:before="120" w:after="120" w:line="360" w:lineRule="auto"/>
        <w:ind w:firstLine="0" w:left="0"/>
        <w:jc w:val="center"/>
      </w:pPr>
      <m:oMathPara>
        <m:oMath>
          <m:r>
            <m:t>s.t.</m:t>
          </m:r>
          <m:r>
            <m:t> </m:t>
          </m:r>
          <m:r>
            <m:t>α</m:t>
          </m:r>
          <m:r>
            <m:t> </m:t>
          </m:r>
          <m:r>
            <m:t>·</m:t>
          </m:r>
          <m:r>
            <m:t> </m:t>
          </m:r>
          <m:sSup>
            <m:e>
              <m:r>
                <m:t>β</m:t>
              </m:r>
            </m:e>
            <m:sup>
              <m:r>
                <m:t>2</m:t>
              </m:r>
            </m:sup>
          </m:sSup>
          <m:r>
            <m:t> </m:t>
          </m:r>
          <m:r>
            <m:t>·</m:t>
          </m:r>
          <m:r>
            <m:t> </m:t>
          </m:r>
          <m:sSup>
            <m:e>
              <m:r>
                <m:t>γ</m:t>
              </m:r>
            </m:e>
            <m:sup>
              <m:r>
                <m:t>2</m:t>
              </m:r>
            </m:sup>
          </m:sSup>
          <m:r>
            <m:t> </m:t>
          </m:r>
          <m:r>
            <m:t>≈</m:t>
          </m:r>
          <m:r>
            <m:t> 2, </m:t>
          </m:r>
          <m:r>
            <m:t> </m:t>
          </m:r>
          <m:r>
            <m:t>α</m:t>
          </m:r>
          <m:r>
            <m:t> </m:t>
          </m:r>
          <m:r>
            <m:t>≥</m:t>
          </m:r>
          <m:r>
            <m:t> 1, </m:t>
          </m:r>
          <m:r>
            <m:t>β</m:t>
          </m:r>
          <m:r>
            <m:t> </m:t>
          </m:r>
          <m:r>
            <m:t>≥</m:t>
          </m:r>
          <m:r>
            <m:t> 1, </m:t>
          </m:r>
          <m:r>
            <m:t>γ</m:t>
          </m:r>
          <m:r>
            <m:t> </m:t>
          </m:r>
          <m:r>
            <m:t>≥</m:t>
          </m:r>
          <m:r>
            <m:t> 1</m:t>
          </m:r>
        </m:oMath>
      </m:oMathPara>
      <w:r>
        <w:tab/>
      </w:r>
      <w:r>
        <w:t>(15)</w:t>
      </w:r>
    </w:p>
    <w:p>
      <w:pPr>
        <w:spacing w:before="0" w:after="0" w:line="276" w:lineRule="auto"/>
        <w:ind w:firstLine="420" w:left="0"/>
        <w:jc w:val="both"/>
      </w:pPr>
      <w:r>
        <w:rPr>
          <w:rFonts w:ascii="Times New Roman" w:hAnsi="Times New Roman" w:eastAsia="SimSun"/>
          <w:sz w:val="20"/>
        </w:rPr>
        <w:t xml:space="preserve">where </w:t>
      </w:r>
      <m:oMath>
        <m:r>
          <m:t>φ</m:t>
        </m:r>
      </m:oMath>
      <w:r>
        <w:rPr>
          <w:rFonts w:ascii="Times New Roman" w:hAnsi="Times New Roman" w:eastAsia="SimSun"/>
          <w:sz w:val="20"/>
        </w:rPr>
        <w:t xml:space="preserve"> is a compound coefficient controlling resource allocation.</w:t>
      </w:r>
    </w:p>
    <w:p>
      <w:pPr>
        <w:spacing w:before="240" w:after="60" w:line="240" w:lineRule="auto"/>
        <w:ind w:firstLine="0" w:left="0"/>
        <w:jc w:val="left"/>
      </w:pPr>
      <w:r>
        <w:rPr>
          <w:rFonts w:ascii="Times New Roman" w:hAnsi="Times New Roman" w:eastAsia="SimSun"/>
          <w:b/>
          <w:sz w:val="22"/>
        </w:rPr>
        <w:t>5.3 Attention Mechanisms</w:t>
      </w:r>
    </w:p>
    <w:p>
      <w:pPr>
        <w:spacing w:before="0" w:after="0" w:line="276" w:lineRule="auto"/>
        <w:ind w:firstLine="420" w:left="0"/>
        <w:jc w:val="both"/>
      </w:pPr>
      <w:r>
        <w:rPr>
          <w:rFonts w:ascii="Times New Roman" w:hAnsi="Times New Roman" w:eastAsia="SimSun"/>
          <w:sz w:val="20"/>
        </w:rPr>
        <w:t>Self-attention mechanisms have become ubiquitous in modern vision models. The multi-head attention computes:</w:t>
      </w:r>
    </w:p>
    <w:p>
      <w:pPr>
        <w:spacing w:before="120" w:after="120" w:line="360" w:lineRule="auto"/>
        <w:ind w:firstLine="0" w:left="0"/>
        <w:jc w:val="center"/>
      </w:pPr>
      <m:oMathPara>
        <m:oMath>
          <m:r>
            <m:t>MHA</m:t>
          </m:r>
          <m:r>
            <m:t>(Q, K, V) = </m:t>
          </m:r>
          <m:r>
            <m:t>Concat</m:t>
          </m:r>
          <m:r>
            <m:t>(</m:t>
          </m:r>
          <m:sSub>
            <m:e>
              <m:r>
                <m:t>head</m:t>
              </m:r>
            </m:e>
            <m:sub>
              <m:r>
                <m:t>1</m:t>
              </m:r>
            </m:sub>
          </m:sSub>
          <m:r>
            <m:t> </m:t>
          </m:r>
          <m:r>
            <m:t> </m:t>
          </m:r>
          <m:sSub>
            <m:e>
              <m:r>
                <m:t>head</m:t>
              </m:r>
            </m:e>
            <m:sub>
              <m:r>
                <m:t>h</m:t>
              </m:r>
            </m:sub>
          </m:sSub>
          <m:sSup>
            <m:e>
              <m:r>
                <m:t>) W</m:t>
              </m:r>
            </m:e>
            <m:sup>
              <m:r>
                <m:t>O</m:t>
              </m:r>
            </m:sup>
          </m:sSup>
        </m:oMath>
      </m:oMathPara>
      <w:r>
        <w:tab/>
      </w:r>
      <w:r>
        <w:t>(16)</w:t>
      </w:r>
    </w:p>
    <w:p>
      <w:pPr>
        <w:spacing w:before="120" w:after="120" w:line="360" w:lineRule="auto"/>
        <w:ind w:firstLine="0" w:left="0"/>
        <w:jc w:val="center"/>
      </w:pPr>
      <m:oMathPara>
        <m:oMath>
          <m:sSub>
            <m:e>
              <m:r>
                <m:t>head</m:t>
              </m:r>
            </m:e>
            <m:sub>
              <m:r>
                <m:t>i</m:t>
              </m:r>
            </m:sub>
          </m:sSub>
          <m:r>
            <m:t> = </m:t>
          </m:r>
          <m:r>
            <m:t>Attention</m:t>
          </m:r>
          <m:sSup>
            <m:e>
              <m:sSub>
                <m:e>
                  <m:r>
                    <m:t>(Q W</m:t>
                  </m:r>
                </m:e>
                <m:sub>
                  <m:r>
                    <m:t>i</m:t>
                  </m:r>
                </m:sub>
              </m:sSub>
            </m:e>
            <m:sup>
              <m:r>
                <m:t>Q</m:t>
              </m:r>
            </m:sup>
          </m:sSup>
          <m:sSup>
            <m:e>
              <m:sSub>
                <m:e>
                  <m:r>
                    <m:t> K W</m:t>
                  </m:r>
                </m:e>
                <m:sub>
                  <m:r>
                    <m:t>i</m:t>
                  </m:r>
                </m:sub>
              </m:sSub>
            </m:e>
            <m:sup>
              <m:r>
                <m:t>K</m:t>
              </m:r>
            </m:sup>
          </m:sSup>
          <m:sSup>
            <m:e>
              <m:sSub>
                <m:e>
                  <m:r>
                    <m:t> V W</m:t>
                  </m:r>
                </m:e>
                <m:sub>
                  <m:r>
                    <m:t>i</m:t>
                  </m:r>
                </m:sub>
              </m:sSub>
            </m:e>
            <m:sup>
              <m:r>
                <m:t>V</m:t>
              </m:r>
            </m:sup>
          </m:sSup>
          <m:r>
            <m:t>)</m:t>
          </m:r>
        </m:oMath>
      </m:oMathPara>
      <w:r>
        <w:tab/>
      </w:r>
      <w:r>
        <w:t>(17)</w:t>
      </w:r>
    </w:p>
    <w:p>
      <w:pPr>
        <w:spacing w:before="0" w:after="0" w:line="276" w:lineRule="auto"/>
        <w:ind w:firstLine="420" w:left="0"/>
        <w:jc w:val="both"/>
      </w:pPr>
      <w:r>
        <w:rPr>
          <w:rFonts w:ascii="Times New Roman" w:hAnsi="Times New Roman" w:eastAsia="SimSun"/>
          <w:sz w:val="20"/>
        </w:rPr>
        <w:t xml:space="preserve">where </w:t>
      </w:r>
      <m:oMath>
        <m:r>
          <m:t>h</m:t>
        </m:r>
      </m:oMath>
      <w:r>
        <w:rPr>
          <w:rFonts w:ascii="Times New Roman" w:hAnsi="Times New Roman" w:eastAsia="SimSun"/>
          <w:sz w:val="20"/>
        </w:rPr>
        <w:t xml:space="preserve"> is the number of attention heads (typically 8 or 16).</w:t>
      </w:r>
    </w:p>
    <w:p>
      <w:pPr>
        <w:spacing w:before="360" w:after="120" w:line="240" w:lineRule="auto"/>
        <w:ind w:firstLine="0" w:left="0"/>
        <w:jc w:val="left"/>
      </w:pPr>
      <w:r>
        <w:rPr>
          <w:rFonts w:ascii="Times New Roman" w:hAnsi="Times New Roman" w:eastAsia="SimSun"/>
          <w:b/>
          <w:sz w:val="24"/>
        </w:rPr>
        <w:t>6. Advanced Applications</w:t>
      </w:r>
    </w:p>
    <w:p>
      <w:pPr>
        <w:spacing w:before="240" w:after="60" w:line="240" w:lineRule="auto"/>
        <w:ind w:firstLine="0" w:left="0"/>
        <w:jc w:val="left"/>
      </w:pPr>
      <w:r>
        <w:rPr>
          <w:rFonts w:ascii="Times New Roman" w:hAnsi="Times New Roman" w:eastAsia="SimSun"/>
          <w:b/>
          <w:sz w:val="22"/>
        </w:rPr>
        <w:t>6.1 Medical Image Analysis</w:t>
      </w:r>
    </w:p>
    <w:p>
      <w:pPr>
        <w:spacing w:before="0" w:after="0" w:line="276" w:lineRule="auto"/>
        <w:ind w:firstLine="420" w:left="0"/>
        <w:jc w:val="both"/>
      </w:pPr>
      <w:r>
        <w:rPr>
          <w:rFonts w:ascii="Times New Roman" w:hAnsi="Times New Roman" w:eastAsia="SimSun"/>
          <w:sz w:val="20"/>
        </w:rPr>
        <w:t>Deep learning has shown remarkable success in medical imaging, from diabetic retinopathy detection to COVID-19 diagnosis from chest X-rays. The U-Net architecture, with its encoder-decoder structure and skip connections, is particularly effective for image segmentation tasks.</w:t>
      </w:r>
    </w:p>
    <w:p>
      <w:pPr>
        <w:jc w:val="center"/>
      </w:pPr>
      <w:r>
        <w:drawing>
          <wp:inline xmlns:a="http://schemas.openxmlformats.org/drawingml/2006/main" xmlns:pic="http://schemas.openxmlformats.org/drawingml/2006/picture">
            <wp:extent cx="2952000" cy="99440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2106656" cy="4078224"/>
                    </a:xfrm>
                    <a:prstGeom prst="rect"/>
                  </pic:spPr>
                </pic:pic>
              </a:graphicData>
            </a:graphic>
          </wp:inline>
        </w:drawing>
      </w:r>
    </w:p>
    <w:p>
      <w:pPr>
        <w:spacing w:before="60" w:after="240" w:line="240" w:lineRule="auto"/>
        <w:ind w:firstLine="0" w:left="0"/>
        <w:jc w:val="center"/>
      </w:pPr>
      <w:r>
        <w:rPr>
          <w:rFonts w:ascii="Times New Roman" w:hAnsi="Times New Roman" w:eastAsia="SimSun"/>
          <w:i/>
          <w:sz w:val="18"/>
        </w:rPr>
        <w:t>Fig.5: Figure 5: Medical image segmentation results. (a) Input CT scan with tumor region highlighted. (b) Ground truth segmentation mask. (c) Predicted segmentation using our method. The model accurately delineates tumor boundaries</w:t>
      </w:r>
    </w:p>
    <w:p>
      <w:pPr>
        <w:spacing w:before="240" w:after="60" w:line="240" w:lineRule="auto"/>
        <w:ind w:firstLine="0" w:left="0"/>
        <w:jc w:val="left"/>
      </w:pPr>
      <w:r>
        <w:rPr>
          <w:rFonts w:ascii="Times New Roman" w:hAnsi="Times New Roman" w:eastAsia="SimSun"/>
          <w:b/>
          <w:sz w:val="22"/>
        </w:rPr>
        <w:t>6.2 Autonomous Driving</w:t>
      </w:r>
    </w:p>
    <w:p>
      <w:pPr>
        <w:spacing w:before="0" w:after="0" w:line="276" w:lineRule="auto"/>
        <w:ind w:firstLine="420" w:left="0"/>
        <w:jc w:val="both"/>
      </w:pPr>
      <w:r>
        <w:rPr>
          <w:rFonts w:ascii="Times New Roman" w:hAnsi="Times New Roman" w:eastAsia="SimSun"/>
          <w:sz w:val="20"/>
        </w:rPr>
        <w:t>Scene understanding is critical for autonomous vehicles. Modern systems combine multiple vision tasks:</w:t>
      </w:r>
    </w:p>
    <w:p>
      <w:pPr>
        <w:spacing w:before="0" w:after="0" w:line="276" w:lineRule="auto"/>
        <w:ind w:firstLine="420" w:left="0"/>
        <w:jc w:val="both"/>
      </w:pPr>
      <w:r>
        <w:rPr>
          <w:rFonts w:ascii="Times New Roman" w:hAnsi="Times New Roman" w:eastAsia="SimSun"/>
          <w:b/>
          <w:sz w:val="20"/>
        </w:rPr>
        <w:t>Pseudo-code for multi-task inference:</w:t>
      </w:r>
    </w:p>
    <w:p>
      <w:pPr>
        <w:spacing w:before="120" w:after="120" w:line="240" w:lineRule="auto"/>
        <w:ind w:firstLine="0" w:left="120"/>
        <w:jc w:val="left"/>
      </w:pPr>
      <w:r>
        <w:rPr>
          <w:b/>
        </w:rPr>
        <w:t>[def scene_understanding(image):]</w:t>
        <w:br/>
      </w:r>
      <w:r>
        <w:t>def scene_understanding(image):</w:t>
        <w:br/>
        <w:t xml:space="preserve">    # Step 1: Extract features using backbone network</w:t>
        <w:br/>
        <w:t xml:space="preserve">    features = backbone(image)</w:t>
        <w:br/>
        <w:t xml:space="preserve">    </w:t>
        <w:br/>
        <w:t xml:space="preserve">    # Step 2: Perform object detection</w:t>
        <w:br/>
        <w:t xml:space="preserve">    boxes, labels, scores = detector(features)</w:t>
        <w:br/>
        <w:t xml:space="preserve">    </w:t>
        <w:br/>
        <w:t xml:space="preserve">    # Step 3: Apply semantic segmentation</w:t>
        <w:br/>
        <w:t xml:space="preserve">    segmentation = segmenter(features)</w:t>
        <w:br/>
        <w:t xml:space="preserve">    </w:t>
        <w:br/>
        <w:t xml:space="preserve">    # Step 4: Estimate depth (monocular or stereo)</w:t>
        <w:br/>
        <w:t xml:space="preserve">    depth_map = depth_estimator(image)</w:t>
        <w:br/>
        <w:t xml:space="preserve">    </w:t>
        <w:br/>
        <w:t xml:space="preserve">    # Step 5: Fuse results for scene graph</w:t>
        <w:br/>
        <w:t xml:space="preserve">    scene_graph = fuse(boxes, labels, segmentation, depth_map)</w:t>
        <w:br/>
        <w:t xml:space="preserve">    </w:t>
        <w:br/>
        <w:t xml:space="preserve">    return scene_graph</w:t>
      </w:r>
    </w:p>
    <w:p>
      <w:pPr>
        <w:spacing w:before="0" w:after="0" w:line="276" w:lineRule="auto"/>
        <w:ind w:firstLine="420" w:left="0"/>
        <w:jc w:val="both"/>
      </w:pPr>
      <w:r>
        <w:rPr>
          <w:rFonts w:ascii="Times New Roman" w:hAnsi="Times New Roman" w:eastAsia="SimSun"/>
          <w:sz w:val="20"/>
        </w:rPr>
        <w:t>The depth estimation network learns to predict per-pixel depth from single images:</w:t>
      </w:r>
    </w:p>
    <w:p>
      <w:pPr>
        <w:spacing w:before="120" w:after="120" w:line="360" w:lineRule="auto"/>
        <w:ind w:firstLine="0" w:left="0"/>
        <w:jc w:val="center"/>
      </w:pPr>
      <m:oMathPara>
        <m:oMath>
          <m:acc>
            <m:accPr>
              <m:chr m:val="̂"/>
            </m:accPr>
            <m:e>
              <m:r>
                <m:t>d</m:t>
              </m:r>
            </m:e>
          </m:acc>
          <m:r>
            <m:t> = f(depth</m:t>
          </m:r>
          <m:r>
            <m:t>_</m:t>
          </m:r>
          <m:r>
            <m:t>network(I; </m:t>
          </m:r>
          <m:r>
            <m:t>θ</m:t>
          </m:r>
          <m:r>
            <m:t>))</m:t>
          </m:r>
        </m:oMath>
      </m:oMathPara>
      <w:r>
        <w:tab/>
      </w:r>
      <w:r>
        <w:t>(18)</w:t>
      </w:r>
    </w:p>
    <w:p>
      <w:pPr>
        <w:spacing w:before="0" w:after="0" w:line="276" w:lineRule="auto"/>
        <w:ind w:firstLine="420" w:left="0"/>
        <w:jc w:val="both"/>
      </w:pPr>
      <w:r>
        <w:rPr>
          <w:rFonts w:ascii="Times New Roman" w:hAnsi="Times New Roman" w:eastAsia="SimSun"/>
          <w:sz w:val="20"/>
        </w:rPr>
        <w:t xml:space="preserve">where </w:t>
      </w:r>
      <m:oMath>
        <m:r>
          <m:t>I</m:t>
        </m:r>
      </m:oMath>
      <w:r>
        <w:rPr>
          <w:rFonts w:ascii="Times New Roman" w:hAnsi="Times New Roman" w:eastAsia="SimSun"/>
          <w:sz w:val="20"/>
        </w:rPr>
        <w:t xml:space="preserve"> is the input image, </w:t>
      </w:r>
      <m:oMath>
        <m:r>
          <m:t>θ</m:t>
        </m:r>
      </m:oMath>
      <w:r>
        <w:rPr>
          <w:rFonts w:ascii="Times New Roman" w:hAnsi="Times New Roman" w:eastAsia="SimSun"/>
          <w:sz w:val="20"/>
        </w:rPr>
        <w:t xml:space="preserve"> are the network parameters, and </w:t>
      </w:r>
      <m:oMath>
        <m:acc>
          <m:accPr>
            <m:chr m:val="̂"/>
          </m:accPr>
          <m:e>
            <m:r>
              <m:t>d</m:t>
            </m:r>
          </m:e>
        </m:acc>
      </m:oMath>
      <w:r>
        <w:rPr>
          <w:rFonts w:ascii="Times New Roman" w:hAnsi="Times New Roman" w:eastAsia="SimSun"/>
          <w:sz w:val="20"/>
        </w:rPr>
        <w:t xml:space="preserve"> is the predicted depth map.</w:t>
      </w:r>
    </w:p>
    <w:p>
      <w:pPr>
        <w:spacing w:before="360" w:after="120" w:line="240" w:lineRule="auto"/>
        <w:ind w:firstLine="0" w:left="0"/>
        <w:jc w:val="left"/>
      </w:pPr>
      <w:r>
        <w:rPr>
          <w:rFonts w:ascii="Times New Roman" w:hAnsi="Times New Roman" w:eastAsia="SimSun"/>
          <w:b/>
          <w:sz w:val="24"/>
        </w:rPr>
        <w:t>7. Discussion and Limitations</w:t>
      </w:r>
    </w:p>
    <w:p>
      <w:pPr>
        <w:spacing w:before="0" w:after="0" w:line="276" w:lineRule="auto"/>
        <w:ind w:firstLine="420" w:left="0"/>
        <w:jc w:val="both"/>
      </w:pPr>
      <w:r>
        <w:rPr>
          <w:rFonts w:ascii="Times New Roman" w:hAnsi="Times New Roman" w:eastAsia="SimSun"/>
          <w:sz w:val="20"/>
        </w:rPr>
        <w:t>Despite significant progress, several challenges remain. First, deep models require substantial computational resources, limiting deployment on edge devices. Second, these models often lack interpretability, making it difficult to understand their decision-making process.</w:t>
      </w:r>
    </w:p>
    <w:p>
      <w:pPr>
        <w:spacing w:before="0" w:after="0" w:line="276" w:lineRule="auto"/>
        <w:ind w:firstLine="420" w:left="0"/>
        <w:jc w:val="both"/>
      </w:pPr>
      <w:r>
        <w:rPr>
          <w:rFonts w:ascii="Times New Roman" w:hAnsi="Times New Roman" w:eastAsia="SimSun"/>
          <w:sz w:val="20"/>
        </w:rPr>
        <w:t>The environmental impact of training large models is also a growing concern. As noted by previous research: "Training a single deep learning model can emit as much carbon as five cars in their lifetimes" (Strubell et al., 2019). This necessitates the development of more efficient training methods and model compression techniques.</w:t>
      </w:r>
    </w:p>
    <w:p>
      <w:pPr>
        <w:spacing w:before="0" w:after="0" w:line="276" w:lineRule="auto"/>
        <w:ind w:firstLine="420" w:left="0"/>
        <w:jc w:val="both"/>
      </w:pPr>
      <w:r>
        <w:rPr>
          <w:rFonts w:ascii="Times New Roman" w:hAnsi="Times New Roman" w:eastAsia="SimSun"/>
          <w:sz w:val="20"/>
        </w:rPr>
        <w:t>Additionally, current models exhibit vulnerabilities to adversarial attacks:</w:t>
      </w:r>
    </w:p>
    <w:p>
      <w:pPr>
        <w:spacing w:before="120" w:after="120" w:line="360" w:lineRule="auto"/>
        <w:ind w:firstLine="0" w:left="0"/>
        <w:jc w:val="center"/>
      </w:pPr>
      <m:oMathPara>
        <m:oMath>
          <m:r>
            <m:t>x' = x + </m:t>
          </m:r>
          <m:r>
            <m:t>ε</m:t>
          </m:r>
          <m:r>
            <m:t> </m:t>
          </m:r>
          <m:r>
            <m:t>·</m:t>
          </m:r>
          <m:r>
            <m:t> </m:t>
          </m:r>
          <m:r>
            <m:t>sign</m:t>
          </m:r>
          <m:r>
            <m:t>(</m:t>
          </m:r>
          <m:sSub>
            <m:e>
              <m:r>
                <m:t>∇</m:t>
              </m:r>
            </m:e>
            <m:sub>
              <m:r>
                <m:t>x</m:t>
              </m:r>
            </m:sub>
          </m:sSub>
          <m:r>
            <m:t> L(</m:t>
          </m:r>
          <m:r>
            <m:t>θ</m:t>
          </m:r>
          <m:r>
            <m:t> x, y))</m:t>
          </m:r>
        </m:oMath>
      </m:oMathPara>
      <w:r>
        <w:tab/>
      </w:r>
      <w:r>
        <w:t>(19)</w:t>
      </w:r>
    </w:p>
    <w:p>
      <w:pPr>
        <w:spacing w:before="0" w:after="0" w:line="276" w:lineRule="auto"/>
        <w:ind w:firstLine="420" w:left="0"/>
        <w:jc w:val="both"/>
      </w:pPr>
      <w:r>
        <w:rPr>
          <w:rFonts w:ascii="Times New Roman" w:hAnsi="Times New Roman" w:eastAsia="SimSun"/>
          <w:sz w:val="20"/>
        </w:rPr>
        <w:t xml:space="preserve">where </w:t>
      </w:r>
      <m:oMath>
        <m:r>
          <m:t>x'</m:t>
        </m:r>
      </m:oMath>
      <w:r>
        <w:rPr>
          <w:rFonts w:ascii="Times New Roman" w:hAnsi="Times New Roman" w:eastAsia="SimSun"/>
          <w:sz w:val="20"/>
        </w:rPr>
        <w:t xml:space="preserve"> is the adversarial example, and </w:t>
      </w:r>
      <m:oMath>
        <m:r>
          <m:t>ε</m:t>
        </m:r>
      </m:oMath>
      <w:r>
        <w:rPr>
          <w:rFonts w:ascii="Times New Roman" w:hAnsi="Times New Roman" w:eastAsia="SimSun"/>
          <w:sz w:val="20"/>
        </w:rPr>
        <w:t xml:space="preserve"> controls the perturbation magnitude.</w:t>
      </w:r>
    </w:p>
    <w:p>
      <w:pPr>
        <w:spacing w:before="360" w:after="120" w:line="240" w:lineRule="auto"/>
        <w:ind w:firstLine="0" w:left="0"/>
        <w:jc w:val="left"/>
      </w:pPr>
      <w:r>
        <w:rPr>
          <w:rFonts w:ascii="Times New Roman" w:hAnsi="Times New Roman" w:eastAsia="SimSun"/>
          <w:b/>
          <w:sz w:val="24"/>
        </w:rPr>
        <w:t>8. Related Work</w:t>
      </w:r>
    </w:p>
    <w:p>
      <w:pPr>
        <w:spacing w:before="0" w:after="0" w:line="276" w:lineRule="auto"/>
        <w:ind w:firstLine="420" w:left="0"/>
        <w:jc w:val="both"/>
      </w:pPr>
      <w:r>
        <w:rPr>
          <w:rFonts w:ascii="Times New Roman" w:hAnsi="Times New Roman" w:eastAsia="SimSun"/>
          <w:sz w:val="20"/>
        </w:rPr>
        <w:t>The intersection of deep learning and computer vision has a rich history. Early work by LeCun et al. (1998) demonstrated the feasibility of CNNs for document recognition. Krizhevsky et al. (2012) showed that deep CNNs could achieve unprecedented accuracy on ImageNet.</w:t>
      </w:r>
    </w:p>
    <w:p>
      <w:pPr>
        <w:spacing w:before="0" w:after="0" w:line="276" w:lineRule="auto"/>
        <w:ind w:firstLine="420" w:left="0"/>
        <w:jc w:val="both"/>
      </w:pPr>
      <w:r>
        <w:rPr>
          <w:rFonts w:ascii="Times New Roman" w:hAnsi="Times New Roman" w:eastAsia="SimSun"/>
          <w:sz w:val="20"/>
        </w:rPr>
        <w:t>Subsequent work focused on improving network architecture and training techniques. He et al. (2016) introduced residual connections to enable training of very deep networks. Vaswani et al. (2017) proposed the transformer architecture, which was later adapted for vision by Dosovitskiy et al. (2021).</w:t>
      </w:r>
    </w:p>
    <w:p>
      <w:pPr>
        <w:spacing w:before="0" w:after="0" w:line="276" w:lineRule="auto"/>
        <w:ind w:firstLine="420" w:left="0"/>
        <w:jc w:val="both"/>
      </w:pPr>
      <w:r>
        <w:rPr>
          <w:rFonts w:ascii="Times New Roman" w:hAnsi="Times New Roman" w:eastAsia="SimSun"/>
          <w:sz w:val="20"/>
        </w:rPr>
        <w:t>Recent advances include self-supervised learning methods like MoCo (He et al., 2020) and CLIP (Radford et al., 2021), which learn representations from unlabeled data. These methods have significantly reduced the data requirements for training powerful vision models.</w:t>
      </w:r>
    </w:p>
    <w:p>
      <w:pPr>
        <w:spacing w:before="360" w:after="120" w:line="240" w:lineRule="auto"/>
        <w:ind w:firstLine="0" w:left="0"/>
        <w:jc w:val="left"/>
      </w:pPr>
      <w:r>
        <w:rPr>
          <w:rFonts w:ascii="Times New Roman" w:hAnsi="Times New Roman" w:eastAsia="SimSun"/>
          <w:b/>
          <w:sz w:val="24"/>
        </w:rPr>
        <w:t>9. Conclusion</w:t>
      </w:r>
    </w:p>
    <w:p>
      <w:pPr>
        <w:spacing w:before="0" w:after="0" w:line="276" w:lineRule="auto"/>
        <w:ind w:firstLine="420" w:left="0"/>
        <w:jc w:val="both"/>
      </w:pPr>
      <w:r>
        <w:rPr>
          <w:rFonts w:ascii="Times New Roman" w:hAnsi="Times New Roman" w:eastAsia="SimSun"/>
          <w:sz w:val="20"/>
        </w:rPr>
        <w:t>In this survey, we have presented a comprehensive overview of deep learning methods for computer vision. We discussed the evolution from early CNNs to modern Vision Transformers, analyzed key architectural innovations, and reviewed state-of-the-art performance on standard benchmarks.</w:t>
      </w:r>
    </w:p>
    <w:p>
      <w:pPr>
        <w:spacing w:before="0" w:after="0" w:line="276" w:lineRule="auto"/>
        <w:ind w:firstLine="420" w:left="0"/>
        <w:jc w:val="both"/>
      </w:pPr>
      <w:r>
        <w:rPr>
          <w:rFonts w:ascii="Times New Roman" w:hAnsi="Times New Roman" w:eastAsia="SimSun"/>
          <w:sz w:val="20"/>
        </w:rPr>
        <w:t>The field has progressed remarkably, with deep models now matching or exceeding human performance on many tasks. However, challenges remain in terms of efficiency, interpretability, and robustness. Future research directions include more efficient architectures, better self-supervised learning methods, and integration of symbolic reasoning with deep learning.</w:t>
      </w:r>
    </w:p>
    <w:p>
      <w:pPr>
        <w:spacing w:before="360" w:after="120" w:line="240" w:lineRule="auto"/>
        <w:ind w:firstLine="0" w:left="0"/>
        <w:jc w:val="left"/>
      </w:pPr>
      <w:r>
        <w:rPr>
          <w:rFonts w:ascii="Times New Roman" w:hAnsi="Times New Roman" w:eastAsia="SimSun"/>
          <w:b/>
          <w:sz w:val="24"/>
        </w:rPr>
        <w:t>References</w:t>
      </w:r>
    </w:p>
    <w:p>
      <w:pPr>
        <w:spacing w:before="0" w:after="60" w:line="240" w:lineRule="auto"/>
        <w:ind w:firstLine="0" w:left="0"/>
        <w:jc w:val="left"/>
      </w:pPr>
      <w:r>
        <w:rPr>
          <w:rFonts w:ascii="Times New Roman" w:hAnsi="Times New Roman" w:eastAsia="SimSun"/>
          <w:sz w:val="18"/>
        </w:rPr>
        <w:t>[1] LeCun Y, Bottou L, Bengio Y, et al. Gradient-based learning applied to document recognition. Proceedings of the IEEE, 1998, 86: 2278-2324.</w:t>
      </w:r>
    </w:p>
    <w:p>
      <w:pPr>
        <w:spacing w:before="0" w:after="60" w:line="240" w:lineRule="auto"/>
        <w:ind w:firstLine="0" w:left="0"/>
        <w:jc w:val="left"/>
      </w:pPr>
      <w:r>
        <w:rPr>
          <w:rFonts w:ascii="Times New Roman" w:hAnsi="Times New Roman" w:eastAsia="SimSun"/>
          <w:sz w:val="18"/>
        </w:rPr>
        <w:t>[2] Krizhevsky A, Sutskever I, Hinton G E. ImageNet classification with deep convolutional neural networks. Communications of the ACM, 2017, 60: 84-90.</w:t>
      </w:r>
    </w:p>
    <w:p>
      <w:pPr>
        <w:spacing w:before="0" w:after="60" w:line="240" w:lineRule="auto"/>
        <w:ind w:firstLine="0" w:left="0"/>
        <w:jc w:val="left"/>
      </w:pPr>
      <w:r>
        <w:rPr>
          <w:rFonts w:ascii="Times New Roman" w:hAnsi="Times New Roman" w:eastAsia="SimSun"/>
          <w:sz w:val="18"/>
        </w:rPr>
        <w:t>[3] He K, Zhang X, Ren S, et al. Deep residual learning for image recognition. CVPR, 2016: 770-778.</w:t>
      </w:r>
    </w:p>
    <w:p>
      <w:pPr>
        <w:spacing w:before="0" w:after="60" w:line="240" w:lineRule="auto"/>
        <w:ind w:firstLine="0" w:left="0"/>
        <w:jc w:val="left"/>
      </w:pPr>
      <w:r>
        <w:rPr>
          <w:rFonts w:ascii="Times New Roman" w:hAnsi="Times New Roman" w:eastAsia="SimSun"/>
          <w:sz w:val="18"/>
        </w:rPr>
        <w:t>[4] Dosovitskiy A, Beyer L, Kolesnikov A, et al. An image is worth 16x16 words: Transformers for image recognition at scale. ICLR, 2021.</w:t>
      </w:r>
    </w:p>
    <w:p>
      <w:pPr>
        <w:spacing w:before="0" w:after="60" w:line="240" w:lineRule="auto"/>
        <w:ind w:firstLine="0" w:left="0"/>
        <w:jc w:val="left"/>
      </w:pPr>
      <w:r>
        <w:rPr>
          <w:rFonts w:ascii="Times New Roman" w:hAnsi="Times New Roman" w:eastAsia="SimSun"/>
          <w:sz w:val="18"/>
        </w:rPr>
        <w:t>[5] Vaswani A, Shazeer N, Parmar N, et al. Attention is all you need. NeurIPS, 2017: 5998-6008.</w:t>
      </w:r>
    </w:p>
    <w:p>
      <w:pPr>
        <w:spacing w:before="0" w:after="60" w:line="240" w:lineRule="auto"/>
        <w:ind w:firstLine="0" w:left="0"/>
        <w:jc w:val="left"/>
      </w:pPr>
      <w:r>
        <w:rPr>
          <w:rFonts w:ascii="Times New Roman" w:hAnsi="Times New Roman" w:eastAsia="SimSun"/>
          <w:sz w:val="18"/>
        </w:rPr>
        <w:t>[6] He K, Fan H, Wu Y, et al. Momentum contrast for unsupervised visual representation learning. CVPR, 2020: 9729-9738.</w:t>
      </w:r>
    </w:p>
    <w:p>
      <w:pPr>
        <w:spacing w:before="0" w:after="60" w:line="240" w:lineRule="auto"/>
        <w:ind w:firstLine="0" w:left="0"/>
        <w:jc w:val="left"/>
      </w:pPr>
      <w:r>
        <w:rPr>
          <w:rFonts w:ascii="Times New Roman" w:hAnsi="Times New Roman" w:eastAsia="SimSun"/>
          <w:sz w:val="18"/>
        </w:rPr>
        <w:t>[7] Radford A, Kim J W, Hallacy C, et al. Learning transferable visual models from natural language supervision. ICML, 2021: 8748-8763.</w:t>
      </w:r>
    </w:p>
    <w:p>
      <w:pPr>
        <w:spacing w:before="0" w:after="60" w:line="240" w:lineRule="auto"/>
        <w:ind w:firstLine="0" w:left="0"/>
        <w:jc w:val="left"/>
      </w:pPr>
      <w:r>
        <w:rPr>
          <w:rFonts w:ascii="Times New Roman" w:hAnsi="Times New Roman" w:eastAsia="SimSun"/>
          <w:sz w:val="18"/>
        </w:rPr>
        <w:t>[8] Long J, Shelhamer E, Darrell T. Fully convolutional networks for semantic segmentation. CVPR, 2015: 3431-3440.</w:t>
      </w:r>
    </w:p>
    <w:p>
      <w:pPr>
        <w:spacing w:before="0" w:after="60" w:line="240" w:lineRule="auto"/>
        <w:ind w:firstLine="0" w:left="0"/>
        <w:jc w:val="left"/>
      </w:pPr>
      <w:r>
        <w:rPr>
          <w:rFonts w:ascii="Times New Roman" w:hAnsi="Times New Roman" w:eastAsia="SimSun"/>
          <w:sz w:val="18"/>
        </w:rPr>
        <w:t>[9] Ronneberger O, Fischer P, Brox T. U-Net: Convolutional networks for biomedical image segmentation. MICCAI, 2015: 234-241.</w:t>
      </w:r>
    </w:p>
    <w:p>
      <w:pPr>
        <w:spacing w:before="0" w:after="60" w:line="240" w:lineRule="auto"/>
        <w:ind w:firstLine="0" w:left="0"/>
        <w:jc w:val="left"/>
      </w:pPr>
      <w:r>
        <w:rPr>
          <w:rFonts w:ascii="Times New Roman" w:hAnsi="Times New Roman" w:eastAsia="SimSun"/>
          <w:sz w:val="18"/>
        </w:rPr>
        <w:t>[10] Strubell E, Ganesh A, McCallum A. Energy and policy considerations for deep learning in NLP. ACL, 2019: 3645-3650.</w:t>
      </w:r>
    </w:p>
    <w:sectPr w:rsidR="00FC693F" w:rsidRPr="0006063C" w:rsidSect="00034616">
      <w:type w:val="continuous"/>
      <w:pgSz w:w="11906" w:h="16838"/>
      <w:pgMar w:top="1474" w:right="839" w:bottom="765" w:left="839" w:header="720" w:footer="720" w:gutter="0"/>
      <w:cols w:space="453" w:num="2" w:equalWidth="1"/>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