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r>
        <w:rPr>
          <w:rFonts w:ascii="Times New Roman" w:hAnsi="Times New Roman"/>
          <w:color w:val="000000"/>
          <w:sz w:val="20"/>
          <w:szCs w:val="20"/>
        </w:rPr>
        <w:t>{#orders}</w:t>
      </w:r>
    </w:p>
    <w:p>
      <w:pPr>
        <w:pStyle w:val="para1"/>
        <w:spacing/>
        <w:jc w:val="center"/>
        <w:rPr>
          <w:rFonts w:ascii="Times New Roman" w:hAnsi="Times New Roman"/>
          <w:highlight w:val="red"/>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{order_number}</w:t>
      </w:r>
      <w:r>
        <w:rPr>
          <w:rFonts w:ascii="Times New Roman" w:hAnsi="Times New Roman"/>
          <w:highlight w:val="red"/>
          <w:color w:val="auto"/>
          <w:sz w:val="20"/>
          <w:szCs w:val="20"/>
        </w:rPr>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highlight w:val="red"/>
          <w:sz w:val="20"/>
          <w:szCs w:val="20"/>
        </w:rPr>
        <w:t>г. Ташкент</w:t>
      </w:r>
      <w:r>
        <w:rPr>
          <w:rFonts w:ascii="Times New Roman" w:hAnsi="Times New Roman" w:cs="Times New Roman"/>
          <w:sz w:val="20"/>
          <w:szCs w:val="20"/>
        </w:rPr>
        <w:t xml:space="preserve">                                                                            </w:t>
        <w:tab/>
        <w:t xml:space="preserve">          </w:t>
        <w:tab/>
        <w:tab/>
        <w:tab/>
        <w:t>«17» ноября 2021г.</w:t>
      </w:r>
    </w:p>
    <w:p>
      <w:pPr>
        <w:rPr>
          <w:rFonts w:ascii="Times New Roman" w:hAnsi="Times New Roman"/>
          <w:b/>
          <w:highlight w:val="yellow"/>
          <w:bCs/>
          <w:sz w:val="20"/>
          <w:szCs w:val="20"/>
        </w:rPr>
      </w:pPr>
      <w:r>
        <w:rPr>
          <w:rFonts w:ascii="Times New Roman" w:hAnsi="Times New Roman"/>
          <w:b/>
          <w:highlight w:val="yellow"/>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highlight w:val="red"/>
          <w:color w:val="auto"/>
          <w:kern w:val="1"/>
          <w:sz w:val="20"/>
          <w:szCs w:val="20"/>
        </w:rPr>
        <w:t>OOO «Good Luck Future»</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в лице  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b w:val="0"/>
          <w:bCs w:val="0"/>
          <w:color w:val="auto"/>
          <w:kern w:val="1"/>
          <w:sz w:val="20"/>
          <w:szCs w:val="20"/>
        </w:rPr>
        <w:t>{client_name},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осуществляет строительство объекта: многоэтажный жилой дом, расположенный по адресу:{address} г.Ташкент, Чиланзарский район, ул. Катартал, 5-квартал, дом 44А (далее - Комплекс).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w:t>
      </w:r>
      <w:r>
        <w:rPr>
          <w:highlight w:val="red"/>
          <w:sz w:val="20"/>
          <w:szCs w:val="20"/>
        </w:rPr>
        <w:t>№10:03:03:03:01:0022 от 24.09.2019г.).</w:t>
      </w:r>
      <w:r>
        <w:rPr>
          <w:sz w:val="20"/>
          <w:szCs w:val="20"/>
        </w:rPr>
        <w:t xml:space="preserve"> Продавец осуществляет строительные работы на основании соответствующего уведомления в Инспекцию по контролю строительства </w:t>
      </w:r>
      <w:r>
        <w:rPr>
          <w:highlight w:val="red"/>
          <w:sz w:val="20"/>
          <w:szCs w:val="20"/>
        </w:rPr>
        <w:t>города Ташкента от 07.10.2019г за №13022648.</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r/>
      <w:bookmarkStart w:id="1" w:name="_Hlk111452300"/>
      <w:bookmarkEnd w:id="1"/>
      <w:r/>
      <w:r>
        <w:rPr>
          <w:b/>
          <w:sz w:val="20"/>
          <w:szCs w:val="20"/>
        </w:rPr>
        <w:t>{room_number}</w:t>
      </w:r>
      <w:r>
        <w:rPr>
          <w:b/>
          <w:sz w:val="20"/>
          <w:szCs w:val="20"/>
        </w:rPr>
        <w:t xml:space="preserve"> на {floor_number} </w:t>
      </w:r>
      <w:r>
        <w:rPr>
          <w:b/>
          <w:sz w:val="20"/>
          <w:szCs w:val="20"/>
        </w:rPr>
        <w:t>этаже</w:t>
      </w:r>
      <w:r>
        <w:rPr>
          <w:sz w:val="20"/>
          <w:szCs w:val="20"/>
        </w:rPr>
        <w:t xml:space="preserve"> </w:t>
      </w:r>
      <w:r>
        <w:rPr>
          <w:sz w:val="20"/>
          <w:szCs w:val="20"/>
        </w:rPr>
        <w:t xml:space="preserve">ориентировочной общей площадью </w:t>
      </w:r>
      <w:r>
        <w:rPr>
          <w:b/>
          <w:sz w:val="20"/>
          <w:szCs w:val="20"/>
        </w:rPr>
        <w:t xml:space="preserve">{room_space} </w:t>
      </w:r>
      <w:r>
        <w:rPr>
          <w:b/>
          <w:sz w:val="20"/>
          <w:szCs w:val="20"/>
        </w:rPr>
        <w:t>кв.м.</w:t>
      </w:r>
      <w:r>
        <w:rPr>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bCs/>
          <w:sz w:val="20"/>
          <w:szCs w:val="20"/>
        </w:rPr>
        <w:t>{total_sum}</w:t>
      </w:r>
      <w:r>
        <w:rPr>
          <w:b/>
          <w:bCs/>
          <w:sz w:val="20"/>
          <w:szCs w:val="20"/>
        </w:rPr>
        <w:t xml:space="preserve"> (</w:t>
      </w:r>
      <w:r>
        <w:rPr>
          <w:b/>
          <w:bCs/>
          <w:sz w:val="20"/>
          <w:szCs w:val="20"/>
        </w:rPr>
        <w:t>Пятьсот шестнадцать м</w:t>
      </w:r>
      <w:r>
        <w:rPr>
          <w:b/>
          <w:bCs/>
          <w:sz w:val="20"/>
          <w:szCs w:val="20"/>
        </w:rPr>
        <w:t xml:space="preserve">иллионов </w:t>
      </w:r>
      <w:r>
        <w:rPr>
          <w:b/>
          <w:bCs/>
          <w:sz w:val="20"/>
          <w:szCs w:val="20"/>
        </w:rPr>
        <w:t xml:space="preserve">триста восемьдесят четыре </w:t>
      </w:r>
      <w:r>
        <w:rPr>
          <w:b/>
          <w:bCs/>
          <w:sz w:val="20"/>
          <w:szCs w:val="20"/>
        </w:rPr>
        <w:t>тысяч</w:t>
      </w:r>
      <w:r>
        <w:rPr>
          <w:b/>
          <w:bCs/>
          <w:sz w:val="20"/>
          <w:szCs w:val="20"/>
        </w:rPr>
        <w:t xml:space="preserve">) </w:t>
      </w:r>
      <w:r>
        <w:rPr>
          <w:b/>
          <w:bCs/>
          <w:sz w:val="20"/>
          <w:szCs w:val="20"/>
        </w:rPr>
        <w:t>сум</w:t>
      </w:r>
      <w:r>
        <w:rPr>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Pr>
          <w:highlight w:val="red"/>
          <w:sz w:val="20"/>
          <w:szCs w:val="20"/>
        </w:rPr>
        <w:t>255 000 000,00 (Двести пятьдесят пять миллионов) сум,</w:t>
      </w:r>
      <w:r>
        <w:rPr>
          <w:sz w:val="20"/>
          <w:szCs w:val="20"/>
        </w:rPr>
        <w:t xml:space="preserve"> в течении </w:t>
      </w:r>
      <w:r>
        <w:rPr>
          <w:highlight w:val="red"/>
          <w:sz w:val="20"/>
          <w:szCs w:val="20"/>
        </w:rPr>
        <w:t>3-х</w:t>
      </w:r>
      <w:r>
        <w:rPr>
          <w:sz w:val="20"/>
          <w:szCs w:val="20"/>
        </w:rPr>
        <w:t xml:space="preserve"> календарных дней, а остаток долга  в размере </w:t>
      </w:r>
      <w:r>
        <w:rPr>
          <w:highlight w:val="red"/>
          <w:sz w:val="20"/>
          <w:szCs w:val="20"/>
        </w:rPr>
        <w:t>261 384 000,00 (Двести шестьдесят один миллион триста восемьдесят четыре тысячи) сум,</w:t>
      </w:r>
      <w:r>
        <w:rPr>
          <w:sz w:val="20"/>
          <w:szCs w:val="20"/>
        </w:rPr>
        <w:t xml:space="preserve"> покупатель выплачивает в течении </w:t>
      </w:r>
      <w:r>
        <w:rPr>
          <w:highlight w:val="red"/>
          <w:sz w:val="20"/>
          <w:szCs w:val="20"/>
        </w:rPr>
        <w:t>12-ти месяцев,</w:t>
      </w:r>
      <w:r>
        <w:rPr>
          <w:sz w:val="20"/>
          <w:szCs w:val="20"/>
        </w:rPr>
        <w:t xml:space="preserve"> не позднее </w:t>
      </w:r>
      <w:r>
        <w:rPr>
          <w:highlight w:val="red"/>
          <w:sz w:val="20"/>
          <w:szCs w:val="20"/>
        </w:rPr>
        <w:t>15</w:t>
      </w:r>
      <w:r>
        <w:rPr>
          <w:sz w:val="20"/>
          <w:szCs w:val="20"/>
        </w:rPr>
        <w:t xml:space="preserve">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w:t>
      </w:r>
      <w:r>
        <w:rPr>
          <w:highlight w:val="red"/>
          <w:sz w:val="20"/>
          <w:szCs w:val="20"/>
        </w:rPr>
        <w:t>3% (три процента</w:t>
      </w:r>
      <w:r>
        <w:rPr>
          <w:sz w:val="20"/>
          <w:szCs w:val="20"/>
        </w:rPr>
        <w:t>)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highlight w:val="red"/>
          <w:bCs w:val="0"/>
          <w:color w:val="auto"/>
          <w:kern w:val="1"/>
          <w:sz w:val="20"/>
          <w:szCs w:val="20"/>
        </w:rPr>
        <w:t>3</w:t>
      </w:r>
      <w:r>
        <w:rPr>
          <w:rFonts w:ascii="Times New Roman" w:hAnsi="Times New Roman"/>
          <w:b w:val="0"/>
          <w:highlight w:val="red"/>
          <w:bCs w:val="0"/>
          <w:color w:val="auto"/>
          <w:kern w:val="1"/>
          <w:sz w:val="20"/>
          <w:szCs w:val="20"/>
        </w:rPr>
        <w:t>0</w:t>
      </w:r>
      <w:r>
        <w:rPr>
          <w:rFonts w:ascii="Times New Roman" w:hAnsi="Times New Roman"/>
          <w:b w:val="0"/>
          <w:highlight w:val="red"/>
          <w:bCs w:val="0"/>
          <w:color w:val="auto"/>
          <w:kern w:val="1"/>
          <w:sz w:val="20"/>
          <w:szCs w:val="20"/>
        </w:rPr>
        <w:t xml:space="preserve"> </w:t>
      </w:r>
      <w:r>
        <w:rPr>
          <w:rFonts w:ascii="Times New Roman" w:hAnsi="Times New Roman"/>
          <w:b w:val="0"/>
          <w:highlight w:val="red"/>
          <w:bCs w:val="0"/>
          <w:color w:val="auto"/>
          <w:kern w:val="1"/>
          <w:sz w:val="20"/>
          <w:szCs w:val="20"/>
        </w:rPr>
        <w:t>июня</w:t>
      </w:r>
      <w:r>
        <w:rPr>
          <w:rFonts w:ascii="Times New Roman" w:hAnsi="Times New Roman"/>
          <w:b w:val="0"/>
          <w:highlight w:val="red"/>
          <w:bCs w:val="0"/>
          <w:color w:val="auto"/>
          <w:kern w:val="1"/>
          <w:sz w:val="20"/>
          <w:szCs w:val="20"/>
        </w:rPr>
        <w:t xml:space="preserve"> 202</w:t>
      </w:r>
      <w:r>
        <w:rPr>
          <w:rFonts w:ascii="Times New Roman" w:hAnsi="Times New Roman"/>
          <w:b w:val="0"/>
          <w:highlight w:val="red"/>
          <w:bCs w:val="0"/>
          <w:color w:val="auto"/>
          <w:kern w:val="1"/>
          <w:sz w:val="20"/>
          <w:szCs w:val="20"/>
        </w:rPr>
        <w:t>2</w:t>
      </w:r>
      <w:r>
        <w:rPr>
          <w:rFonts w:ascii="Times New Roman" w:hAnsi="Times New Roman"/>
          <w:b w:val="0"/>
          <w:highlight w:val="red"/>
          <w:bCs w:val="0"/>
          <w:color w:val="auto"/>
          <w:kern w:val="1"/>
          <w:sz w:val="20"/>
          <w:szCs w:val="20"/>
        </w:rPr>
        <w:t xml:space="preserve"> года</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highlight w:val="red"/>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highlight w:val="red"/>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highlight w:val="red"/>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highlight w:val="red"/>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w:t>
      </w:r>
      <w:r>
        <w:rPr>
          <w:rFonts w:ascii="Times New Roman" w:hAnsi="Times New Roman" w:cs="Times New Roman"/>
          <w:highlight w:val="red"/>
          <w:sz w:val="20"/>
          <w:szCs w:val="20"/>
        </w:rPr>
        <w:t>0,01 %</w:t>
      </w:r>
      <w:r>
        <w:rPr>
          <w:rFonts w:ascii="Times New Roman" w:hAnsi="Times New Roman" w:cs="Times New Roman"/>
          <w:sz w:val="20"/>
          <w:szCs w:val="20"/>
        </w:rPr>
        <w:t xml:space="preserve">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w:t>
      </w:r>
      <w:r>
        <w:rPr>
          <w:rFonts w:ascii="Times New Roman" w:hAnsi="Times New Roman" w:cs="Times New Roman"/>
          <w:highlight w:val="red"/>
          <w:sz w:val="20"/>
          <w:szCs w:val="20"/>
        </w:rPr>
        <w:t>0,5 % от</w:t>
      </w:r>
      <w:r>
        <w:rPr>
          <w:rFonts w:ascii="Times New Roman" w:hAnsi="Times New Roman" w:cs="Times New Roman"/>
          <w:sz w:val="20"/>
          <w:szCs w:val="20"/>
        </w:rPr>
        <w:t xml:space="preserve"> размера предварительной оплаты за каждый день просрочки, в общем размере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w:t>
      </w:r>
      <w:r>
        <w:rPr>
          <w:rFonts w:ascii="Times New Roman" w:hAnsi="Times New Roman" w:cs="Times New Roman"/>
          <w:highlight w:val="red"/>
          <w:sz w:val="20"/>
          <w:szCs w:val="20"/>
        </w:rPr>
        <w:t>100</w:t>
      </w:r>
      <w:r>
        <w:rPr>
          <w:rFonts w:ascii="Times New Roman" w:hAnsi="Times New Roman" w:cs="Times New Roman"/>
          <w:sz w:val="20"/>
          <w:szCs w:val="20"/>
        </w:rPr>
        <w:t xml:space="preserve">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w:t>
      </w:r>
      <w:r>
        <w:rPr>
          <w:rFonts w:ascii="Times New Roman" w:hAnsi="Times New Roman" w:cs="Times New Roman"/>
          <w:highlight w:val="red"/>
          <w:sz w:val="20"/>
          <w:szCs w:val="20"/>
        </w:rPr>
        <w:t>2-х месяцев</w:t>
      </w:r>
      <w:r>
        <w:rPr>
          <w:rFonts w:ascii="Times New Roman" w:hAnsi="Times New Roman" w:cs="Times New Roman"/>
          <w:sz w:val="20"/>
          <w:szCs w:val="20"/>
        </w:rPr>
        <w:t xml:space="preserve">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highlight w:val="red"/>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tblHeader w:val="0"/>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spacing/>
              <w:jc w:val="center"/>
              <w:rPr>
                <w:rFonts w:ascii="Times New Roman" w:hAnsi="Times New Roman" w:cs="Times New Roman"/>
                <w:b/>
                <w:highlight w:val="red"/>
                <w:sz w:val="20"/>
                <w:szCs w:val="20"/>
              </w:rPr>
            </w:pPr>
            <w:r/>
            <w:bookmarkStart w:id="18" w:name="_Hlk24619885"/>
            <w:bookmarkEnd w:id="18"/>
            <w:r/>
            <w:r>
              <w:rPr>
                <w:rFonts w:ascii="Times New Roman" w:hAnsi="Times New Roman" w:cs="Times New Roman"/>
                <w:b/>
                <w:highlight w:val="red"/>
                <w:sz w:val="20"/>
                <w:szCs w:val="20"/>
              </w:rPr>
              <w:t>OOO «</w:t>
            </w:r>
            <w:r>
              <w:rPr>
                <w:rFonts w:ascii="Times New Roman" w:hAnsi="Times New Roman" w:cs="Times New Roman"/>
                <w:b/>
                <w:highlight w:val="red"/>
                <w:sz w:val="20"/>
                <w:szCs w:val="20"/>
                <w:lang w:val="en-us"/>
              </w:rPr>
              <w:t>GOOD LUCK FUTURE</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spacing/>
              <w:jc w:val="center"/>
              <w:rPr>
                <w:rFonts w:ascii="Times New Roman" w:hAnsi="Times New Roman" w:cs="Times New Roman"/>
                <w:b/>
                <w:highlight w:val="red"/>
                <w:bCs/>
                <w:sz w:val="20"/>
                <w:szCs w:val="20"/>
              </w:rPr>
            </w:pPr>
            <w:r/>
            <w:bookmarkStart w:id="19" w:name="_Hlk112400710"/>
            <w:bookmarkEnd w:id="19"/>
            <w:r/>
            <w:r>
              <w:rPr>
                <w:rFonts w:ascii="Times New Roman" w:hAnsi="Times New Roman"/>
                <w:b/>
                <w:highlight w:val="red"/>
                <w:sz w:val="20"/>
                <w:szCs w:val="20"/>
                <w:lang w:val="en-us"/>
              </w:rPr>
              <w:t>Balsin</w:t>
            </w:r>
            <w:r>
              <w:rPr>
                <w:rFonts w:ascii="Times New Roman" w:hAnsi="Times New Roman"/>
                <w:b/>
                <w:highlight w:val="red"/>
                <w:sz w:val="20"/>
                <w:szCs w:val="20"/>
                <w:lang w:val="en-us"/>
              </w:rPr>
              <w:t xml:space="preserve"> Andrey </w:t>
            </w:r>
            <w:r>
              <w:rPr>
                <w:rFonts w:ascii="Times New Roman" w:hAnsi="Times New Roman"/>
                <w:b/>
                <w:highlight w:val="red"/>
                <w:sz w:val="20"/>
                <w:szCs w:val="20"/>
                <w:lang w:val="en-us"/>
              </w:rPr>
              <w:t>Aleksandrovich</w:t>
            </w:r>
            <w:r>
              <w:rPr>
                <w:rFonts w:ascii="Times New Roman" w:hAnsi="Times New Roman" w:cs="Times New Roman"/>
                <w:b/>
                <w:highlight w:val="red"/>
                <w:bCs/>
                <w:sz w:val="20"/>
                <w:szCs w:val="20"/>
              </w:rPr>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sz w:val="20"/>
                <w:szCs w:val="20"/>
              </w:rPr>
              <w:t>г. Ташкент, Яккасарайский район, ул. КичикБешегоч, дом№130</w:t>
            </w:r>
            <w:r>
              <w:rPr>
                <w:rFonts w:ascii="Times New Roman" w:hAnsi="Times New Roman" w:cs="Times New Roman"/>
                <w:b/>
                <w:highlight w:val="red"/>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Паспортные данные </w:t>
            </w:r>
            <w:r/>
            <w:bookmarkStart w:id="20" w:name="_Hlk112400720"/>
            <w:bookmarkEnd w:id="20"/>
            <w:r/>
            <w:r>
              <w:rPr>
                <w:rFonts w:ascii="Times New Roman" w:hAnsi="Times New Roman" w:cs="Times New Roman"/>
                <w:highlight w:val="red"/>
                <w:bCs/>
                <w:sz w:val="20"/>
                <w:szCs w:val="20"/>
                <w:lang w:val="en-us"/>
              </w:rPr>
              <w:t>AA</w:t>
            </w:r>
            <w:r>
              <w:rPr>
                <w:rFonts w:ascii="Times New Roman" w:hAnsi="Times New Roman" w:cs="Times New Roman"/>
                <w:highlight w:val="red"/>
                <w:bCs/>
                <w:sz w:val="20"/>
                <w:szCs w:val="20"/>
              </w:rPr>
              <w:t xml:space="preserve"> 5621750</w:t>
            </w:r>
            <w:r>
              <w:rPr>
                <w:rFonts w:ascii="Times New Roman" w:hAnsi="Times New Roman" w:cs="Times New Roman"/>
                <w:b/>
                <w:highlight w:val="red"/>
                <w:sz w:val="20"/>
                <w:szCs w:val="20"/>
              </w:rPr>
              <w:t xml:space="preserve"> </w:t>
            </w:r>
            <w:r>
              <w:rPr>
                <w:rFonts w:ascii="Times New Roman" w:hAnsi="Times New Roman" w:cs="Times New Roman"/>
                <w:highlight w:val="red"/>
                <w:bCs/>
                <w:sz w:val="20"/>
                <w:szCs w:val="20"/>
              </w:rPr>
              <w:t xml:space="preserve">выданный 02.06.2014г.,  выданный </w:t>
            </w:r>
            <w:r>
              <w:rPr>
                <w:rFonts w:ascii="Times New Roman" w:hAnsi="Times New Roman" w:cs="Times New Roman"/>
                <w:highlight w:val="red"/>
                <w:bCs/>
                <w:sz w:val="20"/>
                <w:szCs w:val="20"/>
                <w:lang w:val="en-us"/>
              </w:rPr>
              <w:t>Toshkent</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Shahar</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Uchtepa</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tumani</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IIB</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bCs/>
                <w:sz w:val="20"/>
                <w:szCs w:val="20"/>
              </w:rPr>
              <w:t>Республика Узбекистан, г.Ташкент, Учтепинский р-н, Кв-л Г9а, дом 13, квартира 73</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Р/С:</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в</w:t>
            </w:r>
          </w:p>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тел:  </w:t>
            </w:r>
            <w:r>
              <w:rPr>
                <w:rFonts w:ascii="Times New Roman" w:hAnsi="Times New Roman" w:cs="Times New Roman"/>
                <w:highlight w:val="red"/>
                <w:sz w:val="20"/>
                <w:szCs w:val="20"/>
              </w:rPr>
            </w:r>
          </w:p>
          <w:p>
            <w:pPr>
              <w:rPr>
                <w:rFonts w:ascii="Times New Roman" w:hAnsi="Times New Roman" w:cs="Times New Roman"/>
                <w:highlight w:val="red"/>
                <w:sz w:val="20"/>
                <w:szCs w:val="20"/>
              </w:rPr>
            </w:pPr>
            <w:r>
              <w:rPr>
                <w:rFonts w:ascii="Times New Roman" w:hAnsi="Times New Roman" w:cs="Times New Roman"/>
                <w:highlight w:val="red"/>
                <w:sz w:val="20"/>
                <w:szCs w:val="20"/>
              </w:rPr>
            </w:r>
          </w:p>
          <w:p>
            <w:pPr>
              <w:rPr>
                <w:rFonts w:ascii="Times New Roman" w:hAnsi="Times New Roman" w:cs="Times New Roman"/>
                <w:b/>
                <w:highlight w:val="red"/>
                <w:bCs/>
                <w:sz w:val="20"/>
                <w:szCs w:val="20"/>
              </w:rPr>
            </w:pPr>
            <w:r>
              <w:rPr>
                <w:rFonts w:ascii="Times New Roman" w:hAnsi="Times New Roman" w:cs="Times New Roman"/>
                <w:b/>
                <w:highlight w:val="red"/>
                <w:sz w:val="20"/>
                <w:szCs w:val="20"/>
              </w:rPr>
              <w:t>ИНН:</w:t>
            </w:r>
            <w:r>
              <w:rPr>
                <w:rFonts w:ascii="Times New Roman" w:hAnsi="Times New Roman" w:cs="Times New Roman"/>
                <w:highlight w:val="red"/>
                <w:sz w:val="20"/>
                <w:szCs w:val="20"/>
              </w:rPr>
              <w:t xml:space="preserve"> ________________</w:t>
            </w:r>
            <w:r>
              <w:rPr>
                <w:rFonts w:ascii="Times New Roman" w:hAnsi="Times New Roman" w:cs="Times New Roman"/>
                <w:b/>
                <w:highlight w:val="red"/>
                <w:bCs/>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w:t>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Р/С: </w:t>
            </w:r>
            <w:r>
              <w:rPr>
                <w:rFonts w:ascii="Times New Roman" w:hAnsi="Times New Roman" w:cs="Times New Roman"/>
                <w:highlight w:val="red"/>
                <w:sz w:val="20"/>
                <w:szCs w:val="20"/>
              </w:rPr>
              <w:t>20208000000738319001</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в </w:t>
            </w:r>
            <w:r>
              <w:rPr>
                <w:rFonts w:ascii="Times New Roman" w:hAnsi="Times New Roman" w:cs="Times New Roman"/>
                <w:highlight w:val="red"/>
                <w:sz w:val="20"/>
                <w:szCs w:val="20"/>
              </w:rPr>
              <w:t>АТИБ</w:t>
            </w:r>
            <w:r>
              <w:rPr>
                <w:rFonts w:ascii="Times New Roman" w:hAnsi="Times New Roman" w:cs="Times New Roman"/>
                <w:b/>
                <w:highlight w:val="red"/>
                <w:sz w:val="20"/>
                <w:szCs w:val="20"/>
              </w:rPr>
              <w:t xml:space="preserve"> </w:t>
            </w:r>
            <w:r>
              <w:rPr>
                <w:rFonts w:ascii="Times New Roman" w:hAnsi="Times New Roman" w:cs="Times New Roman"/>
                <w:highlight w:val="red"/>
                <w:sz w:val="20"/>
                <w:szCs w:val="20"/>
              </w:rPr>
              <w:t>"Ипотека банк" Яккасарайский филиал</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МФО </w:t>
            </w:r>
            <w:r>
              <w:rPr>
                <w:rFonts w:ascii="Times New Roman" w:hAnsi="Times New Roman" w:cs="Times New Roman"/>
                <w:highlight w:val="red"/>
                <w:sz w:val="20"/>
                <w:szCs w:val="20"/>
              </w:rPr>
              <w:t xml:space="preserve">01017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ИНН: </w:t>
            </w:r>
            <w:r>
              <w:rPr>
                <w:rFonts w:ascii="Times New Roman" w:hAnsi="Times New Roman" w:cs="Times New Roman"/>
                <w:highlight w:val="red"/>
                <w:sz w:val="20"/>
                <w:szCs w:val="20"/>
              </w:rPr>
              <w:t xml:space="preserve">304704243,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tc>
      </w:tr>
      <w:tr>
        <w:trPr>
          <w:tblHeader w:val="0"/>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ОКЭД: </w:t>
            </w:r>
            <w:r>
              <w:rPr>
                <w:rFonts w:ascii="Times New Roman" w:hAnsi="Times New Roman" w:cs="Times New Roman"/>
                <w:highlight w:val="red"/>
                <w:sz w:val="20"/>
                <w:szCs w:val="20"/>
              </w:rPr>
              <w:t>71390</w:t>
            </w:r>
          </w:p>
          <w:p>
            <w:pPr>
              <w:rPr>
                <w:rFonts w:ascii="Times New Roman" w:hAnsi="Times New Roman" w:cs="Times New Roman"/>
                <w:highlight w:val="red"/>
                <w:sz w:val="20"/>
                <w:szCs w:val="20"/>
              </w:rPr>
            </w:pPr>
            <w:r>
              <w:rPr>
                <w:rFonts w:ascii="Times New Roman" w:hAnsi="Times New Roman" w:cs="Times New Roman"/>
                <w:b/>
                <w:highlight w:val="red"/>
                <w:sz w:val="20"/>
                <w:szCs w:val="20"/>
              </w:rPr>
              <w:t>Тел</w:t>
            </w:r>
            <w:r>
              <w:rPr>
                <w:rFonts w:ascii="Times New Roman" w:hAnsi="Times New Roman" w:cs="Times New Roman"/>
                <w:highlight w:val="red"/>
                <w:sz w:val="20"/>
                <w:szCs w:val="20"/>
              </w:rPr>
              <w:t>:+998954784444</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Style w:val="TableNormal"/>
        <w:name w:val="Таблица2"/>
        <w:tabOrder w:val="0"/>
        <w:jc w:val="center"/>
        <w:tblInd w:w="0" w:type="dxa"/>
        <w:tblW w:w="8797" w:type="dxa"/>
        <w:tblLook w:val="0600" w:firstRow="0" w:lastRow="0" w:firstColumn="0" w:lastColumn="0" w:noHBand="1" w:noVBand="1"/>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tblHeader w:val="0"/>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highlight w:val="red"/>
          <w:sz w:val="20"/>
          <w:szCs w:val="20"/>
        </w:rPr>
        <w:t>Приложение №</w:t>
      </w:r>
      <w:r>
        <w:rPr>
          <w:rFonts w:ascii="Times New Roman" w:hAnsi="Times New Roman" w:cs="Times New Roman"/>
          <w:b/>
          <w:highlight w:val="red"/>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  от «17» ноября 2021г.</w:t>
      </w:r>
      <w:r>
        <w:rPr>
          <w:rFonts w:ascii="Times New Roman" w:hAnsi="Times New Roman"/>
          <w:b/>
          <w:sz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highlight w:val="yellow"/>
          <w:sz w:val="20"/>
          <w:szCs w:val="20"/>
        </w:rPr>
      </w:pPr>
      <w:r>
        <w:rPr>
          <w:rFonts w:ascii="Times New Roman" w:hAnsi="Times New Roman" w:cs="Times New Roman"/>
          <w:highlight w:val="yellow"/>
          <w:sz w:val="20"/>
          <w:szCs w:val="20"/>
        </w:rPr>
      </w:r>
    </w:p>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tblStyle w:val="TableNormal"/>
        <w:name w:val="Таблица4"/>
        <w:tabOrder w:val="0"/>
        <w:jc w:val="center"/>
        <w:tblInd w:w="0" w:type="dxa"/>
        <w:tblW w:w="9780" w:type="dxa"/>
        <w:tblLook w:val="0600" w:firstRow="0" w:lastRow="0" w:firstColumn="0" w:lastColumn="0" w:noHBand="1" w:noVBand="1"/>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ЖК «</w:t>
            </w:r>
            <w:r>
              <w:rPr>
                <w:rFonts w:ascii="Times New Roman" w:hAnsi="Times New Roman" w:cs="Times New Roman"/>
                <w:highlight w:val="red"/>
                <w:bCs/>
                <w:sz w:val="20"/>
                <w:szCs w:val="20"/>
                <w:lang w:val="en-us"/>
              </w:rPr>
              <w:t>Chilanzar Elite</w:t>
            </w:r>
            <w:r>
              <w:rPr>
                <w:rFonts w:ascii="Times New Roman" w:hAnsi="Times New Roman" w:cs="Times New Roman"/>
                <w:highlight w:val="red"/>
                <w:bCs/>
                <w:sz w:val="20"/>
                <w:szCs w:val="20"/>
              </w:rPr>
              <w:t>»</w:t>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73,61</w:t>
            </w:r>
          </w:p>
        </w:tc>
      </w:tr>
    </w:tbl>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tblStyle w:val="TableNormal"/>
        <w:name w:val="Таблица5"/>
        <w:tabOrder w:val="0"/>
        <w:jc w:val="center"/>
        <w:tblInd w:w="0" w:type="dxa"/>
        <w:tblW w:w="9915" w:type="dxa"/>
        <w:tblLook w:val="0600" w:firstRow="0" w:lastRow="0" w:firstColumn="0" w:lastColumn="0" w:noHBand="1" w:noVBand="1"/>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rPr>
                <w:rFonts w:ascii="Times New Roman" w:hAnsi="Times New Roman" w:cs="Times New Roman"/>
                <w:highlight w:val="red"/>
                <w:bCs/>
                <w:sz w:val="20"/>
                <w:szCs w:val="20"/>
              </w:rPr>
            </w:pPr>
            <w:r>
              <w:rPr>
                <w:rFonts w:ascii="Times New Roman" w:hAnsi="Times New Roman" w:cs="Times New Roman"/>
                <w:highlight w:val="red"/>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lang w:val="kk-kz"/>
              </w:rPr>
              <w:t>Пассажирский лифт</w:t>
            </w:r>
            <w:r>
              <w:rPr>
                <w:rFonts w:ascii="Times New Roman" w:hAnsi="Times New Roman" w:cs="Times New Roman"/>
                <w:highlight w:val="red"/>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913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tblHeader w:val="0"/>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Продавец</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t>________________________</w:t>
            </w:r>
          </w:p>
          <w:p>
            <w:pPr>
              <w:spacing/>
              <w:jc w:val="center"/>
              <w:rPr>
                <w:rFonts w:ascii="Times New Roman" w:hAnsi="Times New Roman" w:cs="Times New Roman"/>
                <w:b/>
                <w:highlight w:val="red"/>
                <w:bCs/>
                <w:sz w:val="20"/>
                <w:szCs w:val="20"/>
                <w:lang w:val="en-us"/>
              </w:rPr>
            </w:pPr>
            <w:r>
              <w:rPr>
                <w:rFonts w:ascii="Times New Roman" w:hAnsi="Times New Roman" w:cs="Times New Roman"/>
                <w:b/>
                <w:highlight w:val="red"/>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Покупатель</w:t>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________________________</w:t>
            </w:r>
            <w:r>
              <w:rPr>
                <w:rFonts w:ascii="Times New Roman" w:hAnsi="Times New Roman" w:cs="Times New Roman"/>
                <w:b/>
                <w:highlight w:val="red"/>
                <w:sz w:val="20"/>
                <w:szCs w:val="20"/>
                <w:lang w:val="en-us"/>
              </w:rPr>
            </w:r>
          </w:p>
          <w:p>
            <w:pPr>
              <w:pStyle w:val="para4"/>
              <w:ind w:left="0"/>
              <w:spacing/>
              <w:jc w:val="center"/>
              <w:tabs defTabSz="708">
                <w:tab w:val="left" w:pos="993" w:leader="none"/>
              </w:tabs>
              <w:rPr>
                <w:b/>
                <w:highlight w:val="red"/>
                <w:bCs/>
                <w:sz w:val="20"/>
                <w:szCs w:val="20"/>
              </w:rPr>
            </w:pPr>
            <w:r>
              <w:rPr>
                <w:b/>
                <w:highlight w:val="red"/>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 xml:space="preserve">Приложение </w:t>
      </w:r>
      <w:r>
        <w:rPr>
          <w:rFonts w:ascii="Times New Roman" w:hAnsi="Times New Roman" w:cs="Times New Roman"/>
          <w:b/>
          <w:highlight w:val="red"/>
          <w:sz w:val="20"/>
          <w:szCs w:val="20"/>
        </w:rPr>
        <w:t>№3</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w:t>
        <w:tab/>
        <w:t xml:space="preserve"> от «17» ноября 2021г.</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Двухкамерный стеклопакет (двойное остекление)</w:t>
            </w:r>
          </w:p>
          <w:p>
            <w:pPr>
              <w:spacing/>
              <w:jc w:val="left"/>
              <w:rPr>
                <w:rFonts w:ascii="Times New Roman" w:hAnsi="Times New Roman" w:cs="Times New Roman"/>
                <w:highlight w:val="red"/>
                <w:sz w:val="20"/>
                <w:szCs w:val="20"/>
              </w:rPr>
            </w:pPr>
            <w:r>
              <w:rPr>
                <w:rFonts w:ascii="Times New Roman" w:hAnsi="Times New Roman" w:cs="Times New Roman"/>
                <w:highlight w:val="red"/>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9136"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tblHeader w:val="0"/>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5269136"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r>
        <w:rPr>
          <w:rFonts w:ascii="Times New Roman" w:hAnsi="Times New Roman"/>
          <w:sz w:val="20"/>
          <w:szCs w:val="20"/>
        </w:rPr>
        <w:t>{/orders}</w:t>
      </w:r>
      <w:r>
        <w:rPr>
          <w:rFonts w:ascii="Times New Roman" w:hAnsi="Times New Roman"/>
          <w:sz w:val="20"/>
          <w:szCs w:val="20"/>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 w:name="JetBrains Mono">
    <w:panose1 w:val="02000009000000000000"/>
    <w:charset w:val="cc"/>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1</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98"/>
    </w:tmLastPosCaret>
    <w:tmLastPosAnchor>
      <w:tmLastPosPgfIdx w:val="0"/>
      <w:tmLastPosIdx w:val="0"/>
    </w:tmLastPosAnchor>
    <w:tmLastPosTblRect w:left="0" w:top="0" w:right="0" w:bottom="0"/>
  </w:tmLastPos>
  <w:tmAppRevision w:date="169526913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29</cp:revision>
  <cp:lastPrinted>2022-08-26T05:59:00Z</cp:lastPrinted>
  <dcterms:created xsi:type="dcterms:W3CDTF">2022-08-15T11:11:00Z</dcterms:created>
  <dcterms:modified xsi:type="dcterms:W3CDTF">2023-09-21T04:05:36Z</dcterms:modified>
</cp:coreProperties>
</file>