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rPr>
          <w:rFonts w:ascii="Times New Roman" w:hAnsi="Times New Roman"/>
          <w:color w:val="000000"/>
          <w:sz w:val="20"/>
          <w:szCs w:val="20"/>
        </w:rPr>
      </w:pPr>
      <w:r>
        <w:rPr>
          <w:rFonts w:ascii="Times New Roman" w:hAnsi="Times New Roman"/>
          <w:color w:val="000000"/>
          <w:sz w:val="20"/>
          <w:szCs w:val="20"/>
        </w:rPr>
        <w:t>{#apartment}</w:t>
      </w:r>
    </w:p>
    <w:p>
      <w:pPr>
        <w:pStyle w:val="para1"/>
        <w:spacing/>
        <w:jc w:val="center"/>
        <w:rPr>
          <w:rFonts w:ascii="Times New Roman" w:hAnsi="Times New Roman"/>
          <w:color w:val="auto"/>
          <w:sz w:val="20"/>
          <w:szCs w:val="20"/>
        </w:rPr>
      </w:pPr>
      <w:r>
        <w:rPr>
          <w:rFonts w:ascii="Times New Roman" w:hAnsi="Times New Roman"/>
          <w:color w:val="000000"/>
          <w:sz w:val="20"/>
          <w:szCs w:val="20"/>
        </w:rPr>
        <w:t xml:space="preserve">ПРЕДВАРИТЕЛЬНЫЙ ДОГОВОР КУПЛИ-ПРОДАЖИ № </w:t>
      </w:r>
      <w:r>
        <w:rPr>
          <w:rFonts w:ascii="Times New Roman" w:hAnsi="Times New Roman"/>
          <w:color w:val="auto"/>
          <w:sz w:val="20"/>
          <w:szCs w:val="20"/>
        </w:rPr>
        <w:t>{order_number}</w:t>
      </w:r>
      <w:r>
        <w:rPr>
          <w:rFonts w:ascii="Times New Roman" w:hAnsi="Times New Roman"/>
          <w:color w:val="auto"/>
          <w:sz w:val="20"/>
          <w:szCs w:val="20"/>
        </w:rPr>
      </w:r>
    </w:p>
    <w:p>
      <w:pPr>
        <w:rPr>
          <w:rFonts w:ascii="Times New Roman" w:hAnsi="Times New Roman" w:cs="Times New Roman"/>
          <w:sz w:val="20"/>
          <w:szCs w:val="20"/>
        </w:rPr>
      </w:pPr>
      <w:r>
        <w:rPr>
          <w:rFonts w:ascii="Times New Roman" w:hAnsi="Times New Roman" w:cs="Times New Roman"/>
          <w:sz w:val="20"/>
          <w:szCs w:val="20"/>
        </w:rPr>
      </w:r>
    </w:p>
    <w:p>
      <w:pPr>
        <w:rPr>
          <w:rFonts w:ascii="Times New Roman" w:hAnsi="Times New Roman" w:cs="Times New Roman"/>
          <w:sz w:val="20"/>
          <w:szCs w:val="20"/>
        </w:rPr>
      </w:pPr>
      <w:r>
        <w:rPr>
          <w:rFonts w:ascii="Times New Roman" w:hAnsi="Times New Roman" w:cs="Times New Roman"/>
          <w:sz w:val="20"/>
          <w:szCs w:val="20"/>
        </w:rPr>
        <w:t xml:space="preserve">г. Ташкент                                                                            </w:t>
        <w:tab/>
        <w:t xml:space="preserve">          </w:t>
        <w:tab/>
        <w:tab/>
        <w:tab/>
        <w:t>«17» ноября 2021г.</w:t>
      </w:r>
    </w:p>
    <w:p>
      <w:pPr>
        <w:rPr>
          <w:rFonts w:ascii="Times New Roman" w:hAnsi="Times New Roman"/>
          <w:b/>
          <w:bCs/>
          <w:sz w:val="20"/>
          <w:szCs w:val="20"/>
        </w:rPr>
      </w:pPr>
      <w:r>
        <w:rPr>
          <w:rFonts w:ascii="Times New Roman" w:hAnsi="Times New Roman"/>
          <w:b/>
          <w:bCs/>
          <w:sz w:val="20"/>
          <w:szCs w:val="20"/>
        </w:rPr>
      </w:r>
    </w:p>
    <w:p>
      <w:pPr>
        <w:pStyle w:val="para1"/>
        <w:ind w:firstLine="567"/>
        <w:tabs defTabSz="708">
          <w:tab w:val="left" w:pos="284" w:leader="none"/>
          <w:tab w:val="left" w:pos="3828" w:leader="none"/>
        </w:tabs>
        <w:rPr>
          <w:rFonts w:ascii="Times New Roman" w:hAnsi="Times New Roman"/>
          <w:b w:val="0"/>
          <w:bCs w:val="0"/>
          <w:color w:val="auto"/>
          <w:kern w:val="1"/>
          <w:sz w:val="20"/>
          <w:szCs w:val="20"/>
        </w:rPr>
      </w:pPr>
      <w:r>
        <w:rPr>
          <w:rFonts w:ascii="Times New Roman" w:hAnsi="Times New Roman"/>
          <w:color w:val="auto"/>
          <w:kern w:val="1"/>
          <w:sz w:val="20"/>
          <w:szCs w:val="20"/>
        </w:rPr>
        <w:t>OOO «Good Luck Future»</w:t>
      </w:r>
      <w:r>
        <w:rPr>
          <w:rFonts w:ascii="Times New Roman" w:hAnsi="Times New Roman"/>
          <w:b w:val="0"/>
          <w:bCs w:val="0"/>
          <w:color w:val="auto"/>
          <w:kern w:val="1"/>
          <w:sz w:val="20"/>
          <w:szCs w:val="20"/>
        </w:rPr>
        <w:t>,</w:t>
      </w:r>
      <w:r>
        <w:rPr>
          <w:rFonts w:ascii="Times New Roman" w:hAnsi="Times New Roman"/>
          <w:b w:val="0"/>
          <w:bCs w:val="0"/>
          <w:color w:val="auto"/>
          <w:kern w:val="1"/>
          <w:sz w:val="20"/>
          <w:szCs w:val="20"/>
        </w:rPr>
        <w:t xml:space="preserve"> именуемое в дальнейшем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в лице  Директора – Бекмуратова А.А.,</w:t>
      </w:r>
      <w:r>
        <w:rPr>
          <w:rFonts w:ascii="Times New Roman" w:hAnsi="Times New Roman"/>
          <w:b w:val="0"/>
          <w:bCs w:val="0"/>
          <w:color w:val="auto"/>
          <w:kern w:val="1"/>
          <w:sz w:val="20"/>
          <w:szCs w:val="20"/>
        </w:rPr>
        <w:t xml:space="preserve"> действующего на основании Устава, с одной стороны, и гражданин(ка)</w:t>
      </w:r>
      <w:r>
        <w:rPr>
          <w:rFonts w:ascii="Times New Roman" w:hAnsi="Times New Roman"/>
          <w:b w:val="0"/>
          <w:bCs w:val="0"/>
          <w:color w:val="auto"/>
          <w:kern w:val="1"/>
          <w:sz w:val="20"/>
          <w:szCs w:val="20"/>
        </w:rPr>
        <w:t xml:space="preserve"> </w:t>
      </w:r>
      <w:r/>
      <w:bookmarkStart w:id="0" w:name="_Hlk112070935"/>
      <w:bookmarkEnd w:id="0"/>
      <w:r/>
      <w:r>
        <w:rPr>
          <w:rFonts w:ascii="Times New Roman" w:hAnsi="Times New Roman"/>
          <w:b w:val="0"/>
          <w:bCs w:val="0"/>
          <w:color w:val="auto"/>
          <w:kern w:val="1"/>
          <w:sz w:val="20"/>
          <w:szCs w:val="20"/>
        </w:rPr>
        <w:t>{client_name}, именуемый(ая) в дальнейшем «</w:t>
      </w:r>
      <w:r>
        <w:rPr>
          <w:rFonts w:ascii="Times New Roman" w:hAnsi="Times New Roman"/>
          <w:b w:val="0"/>
          <w:bCs w:val="0"/>
          <w:color w:val="auto"/>
          <w:kern w:val="1"/>
          <w:sz w:val="20"/>
          <w:szCs w:val="20"/>
        </w:rPr>
        <w:t>Покупатель</w:t>
      </w:r>
      <w:r>
        <w:rPr>
          <w:rFonts w:ascii="Times New Roman" w:hAnsi="Times New Roman"/>
          <w:b w:val="0"/>
          <w:bCs w:val="0"/>
          <w:color w:val="auto"/>
          <w:kern w:val="1"/>
          <w:sz w:val="20"/>
          <w:szCs w:val="20"/>
        </w:rPr>
        <w:t>», с другой стороны, заключили настоящий договор о нижеследующем:</w:t>
      </w:r>
      <w:r>
        <w:rPr>
          <w:rFonts w:ascii="Times New Roman" w:hAnsi="Times New Roman"/>
          <w:b w:val="0"/>
          <w:bCs w:val="0"/>
          <w:color w:val="auto"/>
          <w:kern w:val="1"/>
          <w:sz w:val="20"/>
          <w:szCs w:val="20"/>
        </w:rPr>
      </w:r>
    </w:p>
    <w:p>
      <w:pPr>
        <w:pStyle w:val="para1"/>
        <w:ind w:firstLine="567"/>
        <w:tabs defTabSz="708">
          <w:tab w:val="left" w:pos="284" w:leader="none"/>
          <w:tab w:val="left" w:pos="3828" w:leader="none"/>
        </w:tabs>
        <w:rPr>
          <w:rFonts w:ascii="Times New Roman" w:hAnsi="Times New Roman"/>
          <w:color w:val="365f91"/>
          <w:sz w:val="20"/>
          <w:szCs w:val="20"/>
        </w:rPr>
      </w:pPr>
      <w:r>
        <w:rPr>
          <w:rFonts w:ascii="Times New Roman" w:hAnsi="Times New Roman"/>
          <w:color w:val="365f91"/>
          <w:sz w:val="20"/>
          <w:szCs w:val="20"/>
        </w:rPr>
      </w:r>
    </w:p>
    <w:p>
      <w:pPr>
        <w:pStyle w:val="para1"/>
        <w:numPr>
          <w:ilvl w:val="0"/>
          <w:numId w:val="32"/>
        </w:numPr>
        <w:ind w:left="0" w:firstLine="0"/>
        <w:spacing/>
        <w:jc w:val="center"/>
        <w:tabs defTabSz="708">
          <w:tab w:val="left" w:pos="284" w:leader="none"/>
          <w:tab w:val="left" w:pos="3828" w:leader="none"/>
        </w:tabs>
        <w:rPr>
          <w:rFonts w:ascii="Times New Roman" w:hAnsi="Times New Roman"/>
          <w:color w:val="365f91"/>
          <w:sz w:val="20"/>
          <w:szCs w:val="20"/>
        </w:rPr>
      </w:pPr>
      <w:r>
        <w:rPr>
          <w:rFonts w:ascii="Times New Roman" w:hAnsi="Times New Roman"/>
          <w:color w:val="365f91"/>
          <w:sz w:val="20"/>
          <w:szCs w:val="20"/>
        </w:rPr>
        <w:t>ПРЕДМЕТ ДОГОВОРА</w:t>
      </w:r>
    </w:p>
    <w:p>
      <w:pPr>
        <w:pStyle w:val="para4"/>
        <w:numPr>
          <w:ilvl w:val="1"/>
          <w:numId w:val="11"/>
        </w:numPr>
        <w:ind w:left="0" w:firstLine="567"/>
        <w:spacing/>
        <w:jc w:val="both"/>
        <w:tabs defTabSz="708">
          <w:tab w:val="left" w:pos="993" w:leader="none"/>
        </w:tabs>
        <w:rPr>
          <w:sz w:val="20"/>
          <w:szCs w:val="20"/>
        </w:rPr>
      </w:pPr>
      <w:r>
        <w:rPr>
          <w:sz w:val="20"/>
          <w:szCs w:val="20"/>
        </w:rPr>
        <w:t>Продавец осуществляет строительство объекта: многоэтажный жилой дом, расположенный по адресу:{address} г.Ташкент, Чиланзарский район, ул. Катартал, 5-квартал, дом 44А (далее - Комплекс). Земельный участок принадлежит Продавцу на правах постоянного пользования (регистрационный номер реестра государственной регистрации объектов недвижимого имущества №10:03:03:03:01:0022 от 24.09.2019г.). Продавец осуществляет строительные работы на основании соответствующего уведомления в Инспекцию по контролю строительства города Ташкента от 07.10.2019г за №13022648.</w:t>
      </w:r>
    </w:p>
    <w:p>
      <w:pPr>
        <w:pStyle w:val="para4"/>
        <w:numPr>
          <w:ilvl w:val="1"/>
          <w:numId w:val="11"/>
        </w:numPr>
        <w:ind w:left="0" w:firstLine="567"/>
        <w:spacing/>
        <w:jc w:val="both"/>
        <w:tabs defTabSz="708">
          <w:tab w:val="left" w:pos="993" w:leader="none"/>
        </w:tabs>
        <w:rPr>
          <w:sz w:val="20"/>
          <w:szCs w:val="20"/>
        </w:rPr>
      </w:pPr>
      <w:r>
        <w:rPr>
          <w:sz w:val="20"/>
          <w:szCs w:val="20"/>
        </w:rPr>
        <w:t xml:space="preserve">Продавец Покупателю право собственности на отдельный объект жилой недвижимости из состава </w:t>
      </w:r>
      <w:r>
        <w:rPr>
          <w:b/>
          <w:sz w:val="20"/>
          <w:szCs w:val="20"/>
        </w:rPr>
        <w:t xml:space="preserve">Комплекса: квартиру № </w:t>
      </w:r>
      <w:r/>
      <w:bookmarkStart w:id="1" w:name="_Hlk111452300"/>
      <w:bookmarkEnd w:id="1"/>
      <w:r/>
      <w:r>
        <w:rPr>
          <w:b/>
          <w:sz w:val="20"/>
          <w:szCs w:val="20"/>
        </w:rPr>
        <w:t>{room_number}</w:t>
      </w:r>
      <w:r>
        <w:rPr>
          <w:b/>
          <w:sz w:val="20"/>
          <w:szCs w:val="20"/>
        </w:rPr>
        <w:t xml:space="preserve"> на {floor_number} </w:t>
      </w:r>
      <w:r>
        <w:rPr>
          <w:b/>
          <w:sz w:val="20"/>
          <w:szCs w:val="20"/>
        </w:rPr>
        <w:t>этаже</w:t>
      </w:r>
      <w:r>
        <w:rPr>
          <w:sz w:val="20"/>
          <w:szCs w:val="20"/>
        </w:rPr>
        <w:t xml:space="preserve"> </w:t>
      </w:r>
      <w:r>
        <w:rPr>
          <w:sz w:val="20"/>
          <w:szCs w:val="20"/>
        </w:rPr>
        <w:t xml:space="preserve">ориентировочной общей площадью </w:t>
      </w:r>
      <w:r>
        <w:rPr>
          <w:b/>
          <w:sz w:val="20"/>
          <w:szCs w:val="20"/>
        </w:rPr>
        <w:t xml:space="preserve">{room_space} </w:t>
      </w:r>
      <w:r>
        <w:rPr>
          <w:b/>
          <w:sz w:val="20"/>
          <w:szCs w:val="20"/>
        </w:rPr>
        <w:t>кв.м.</w:t>
      </w:r>
      <w:r>
        <w:rPr>
          <w:sz w:val="20"/>
          <w:szCs w:val="20"/>
        </w:rPr>
        <w:t xml:space="preserve"> (</w:t>
      </w:r>
      <w:r>
        <w:rPr>
          <w:sz w:val="20"/>
          <w:szCs w:val="20"/>
        </w:rPr>
        <w:t>далее - Объект) путем заключения нотариально удостоверяемого договора.</w:t>
      </w:r>
      <w:r>
        <w:rPr>
          <w:sz w:val="20"/>
          <w:szCs w:val="20"/>
        </w:rPr>
      </w:r>
    </w:p>
    <w:p>
      <w:pPr>
        <w:pStyle w:val="para4"/>
        <w:numPr>
          <w:ilvl w:val="1"/>
          <w:numId w:val="11"/>
        </w:numPr>
        <w:ind w:left="0" w:firstLine="567"/>
        <w:spacing/>
        <w:jc w:val="both"/>
        <w:tabs defTabSz="708">
          <w:tab w:val="left" w:pos="993" w:leader="none"/>
        </w:tabs>
        <w:rPr>
          <w:sz w:val="20"/>
          <w:szCs w:val="20"/>
        </w:rPr>
      </w:pPr>
      <w:r>
        <w:rPr>
          <w:sz w:val="20"/>
          <w:szCs w:val="20"/>
        </w:rPr>
        <w:t xml:space="preserve">Размер суммы окончательного договора купли-продажи является договорным и составляет </w:t>
      </w:r>
      <w:r/>
      <w:bookmarkStart w:id="2" w:name="_Hlk92902387"/>
      <w:bookmarkEnd w:id="2"/>
      <w:r/>
      <w:bookmarkStart w:id="3" w:name="_Hlk91172368"/>
      <w:bookmarkEnd w:id="3"/>
      <w:r/>
      <w:bookmarkStart w:id="4" w:name="_Hlk91171488"/>
      <w:bookmarkEnd w:id="4"/>
      <w:r/>
      <w:r>
        <w:rPr>
          <w:b/>
          <w:bCs/>
          <w:sz w:val="20"/>
          <w:szCs w:val="20"/>
        </w:rPr>
        <w:t>{total_sum}</w:t>
      </w:r>
      <w:r>
        <w:rPr>
          <w:b/>
          <w:bCs/>
          <w:sz w:val="20"/>
          <w:szCs w:val="20"/>
        </w:rPr>
        <w:t xml:space="preserve"> (</w:t>
      </w:r>
      <w:r>
        <w:rPr>
          <w:b/>
          <w:bCs/>
          <w:sz w:val="20"/>
          <w:szCs w:val="20"/>
        </w:rPr>
        <w:t>{number_to_words}</w:t>
      </w:r>
      <w:r>
        <w:rPr>
          <w:b/>
          <w:bCs/>
          <w:sz w:val="20"/>
          <w:szCs w:val="20"/>
        </w:rPr>
        <w:t xml:space="preserve">) </w:t>
      </w:r>
      <w:r>
        <w:rPr>
          <w:b/>
          <w:bCs/>
          <w:sz w:val="20"/>
          <w:szCs w:val="20"/>
        </w:rPr>
        <w:t>сум</w:t>
      </w:r>
      <w:r>
        <w:rPr>
          <w:sz w:val="20"/>
          <w:szCs w:val="20"/>
        </w:rPr>
        <w:t>.</w:t>
      </w:r>
      <w:r>
        <w:rPr>
          <w:sz w:val="20"/>
          <w:szCs w:val="20"/>
        </w:rPr>
        <w:t xml:space="preserve"> </w:t>
      </w:r>
      <w:r>
        <w:rPr>
          <w:sz w:val="20"/>
          <w:szCs w:val="20"/>
        </w:rPr>
        <w:t xml:space="preserve"> </w:t>
      </w:r>
      <w:r>
        <w:rPr>
          <w:sz w:val="20"/>
          <w:szCs w:val="20"/>
        </w:rPr>
      </w:r>
    </w:p>
    <w:p>
      <w:pPr>
        <w:pStyle w:val="para4"/>
        <w:numPr>
          <w:ilvl w:val="1"/>
          <w:numId w:val="11"/>
        </w:numPr>
        <w:ind w:left="0" w:firstLine="567"/>
        <w:spacing/>
        <w:jc w:val="both"/>
        <w:tabs defTabSz="708">
          <w:tab w:val="left" w:pos="993" w:leader="none"/>
        </w:tabs>
        <w:rPr>
          <w:sz w:val="20"/>
          <w:szCs w:val="20"/>
        </w:rPr>
      </w:pPr>
      <w:r>
        <w:rPr>
          <w:sz w:val="20"/>
          <w:szCs w:val="20"/>
        </w:rPr>
        <w:t>Продавец является заказчиком строительства Комплекса, пользователем и распорядителем предварительной оплаты. Подписанием настоящего договора Покупатель наделяет Продавца полномочиями по владению, пользованию и распоряжению оплаченной суммой.</w:t>
      </w:r>
    </w:p>
    <w:p>
      <w:pPr>
        <w:pStyle w:val="para4"/>
        <w:numPr>
          <w:ilvl w:val="1"/>
          <w:numId w:val="11"/>
        </w:numPr>
        <w:ind w:left="0" w:firstLine="567"/>
        <w:spacing/>
        <w:jc w:val="both"/>
        <w:tabs defTabSz="708">
          <w:tab w:val="left" w:pos="993" w:leader="none"/>
        </w:tabs>
        <w:rPr>
          <w:sz w:val="20"/>
          <w:szCs w:val="20"/>
        </w:rPr>
      </w:pPr>
      <w:r>
        <w:rPr>
          <w:sz w:val="20"/>
          <w:szCs w:val="20"/>
        </w:rPr>
        <w:t>Продавец заключает от своего имени все необходимые договоры для осуществления строительства Комплекса и, являясь заказчиком по договорам строительного подряда, принимает на себя выполнение всех обязательств, предусмотренных указанными договорами.</w:t>
      </w:r>
    </w:p>
    <w:p>
      <w:pPr>
        <w:pStyle w:val="para4"/>
        <w:ind w:left="567"/>
        <w:spacing/>
        <w:jc w:val="both"/>
        <w:tabs defTabSz="708">
          <w:tab w:val="left" w:pos="993" w:leader="none"/>
        </w:tabs>
        <w:rPr>
          <w:sz w:val="20"/>
          <w:szCs w:val="20"/>
        </w:rPr>
      </w:pPr>
      <w:r>
        <w:rPr>
          <w:sz w:val="20"/>
          <w:szCs w:val="20"/>
        </w:rPr>
      </w:r>
    </w:p>
    <w:p>
      <w:pPr>
        <w:pStyle w:val="para1"/>
        <w:numPr>
          <w:ilvl w:val="0"/>
          <w:numId w:val="3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ПОРЯДОК РАСЧЕТОВ</w:t>
      </w:r>
    </w:p>
    <w:p>
      <w:pPr>
        <w:pStyle w:val="para4"/>
        <w:numPr>
          <w:ilvl w:val="1"/>
          <w:numId w:val="22"/>
        </w:numPr>
        <w:ind w:left="0" w:firstLine="567"/>
        <w:spacing/>
        <w:jc w:val="both"/>
        <w:tabs defTabSz="708">
          <w:tab w:val="left" w:pos="993" w:leader="none"/>
        </w:tabs>
        <w:rPr>
          <w:sz w:val="20"/>
          <w:szCs w:val="20"/>
        </w:rPr>
      </w:pPr>
      <w:r>
        <w:rPr>
          <w:sz w:val="20"/>
          <w:szCs w:val="20"/>
        </w:rPr>
        <w:t>Оплата суммы предварительного договора производится путем внесения предоплаты, суммы в размере 255 000 000,00 (Двести пятьдесят пять миллионов) сум, в течении 3-х календарных дней, а остаток долга  в размере 261 384 000,00 (Двести шестьдесят один миллион триста восемьдесят четыре тысячи) сум, покупатель выплачивает в течении 12-ти месяцев, не позднее 15 числа каждого месяца согласно графику, представленному в Приложении №1 к настоящему Договору, которое является неотъемлемой частью настоящего Договора. Днем внесения является день зачисления денежных средств на расчетный счет Продавца.</w:t>
      </w:r>
    </w:p>
    <w:p>
      <w:pPr>
        <w:pStyle w:val="para4"/>
        <w:numPr>
          <w:ilvl w:val="1"/>
          <w:numId w:val="22"/>
        </w:numPr>
        <w:ind w:left="0" w:firstLine="567"/>
        <w:spacing/>
        <w:jc w:val="both"/>
        <w:tabs defTabSz="708">
          <w:tab w:val="left" w:pos="993" w:leader="none"/>
        </w:tabs>
        <w:rPr>
          <w:sz w:val="20"/>
          <w:szCs w:val="20"/>
        </w:rPr>
      </w:pPr>
      <w:r>
        <w:rPr>
          <w:sz w:val="20"/>
          <w:szCs w:val="20"/>
        </w:rPr>
        <w:t>Оплата суммы предварительного договора производится в рассрочку согласно Графику платежей (Приложение №1 к Договору)</w:t>
      </w:r>
    </w:p>
    <w:p>
      <w:pPr>
        <w:pStyle w:val="para4"/>
        <w:numPr>
          <w:ilvl w:val="1"/>
          <w:numId w:val="22"/>
        </w:numPr>
        <w:ind w:left="0" w:firstLine="567"/>
        <w:spacing/>
        <w:jc w:val="both"/>
        <w:tabs defTabSz="708">
          <w:tab w:val="left" w:pos="993" w:leader="none"/>
        </w:tabs>
        <w:rPr>
          <w:sz w:val="20"/>
          <w:szCs w:val="20"/>
        </w:rPr>
      </w:pPr>
      <w:r>
        <w:rPr>
          <w:sz w:val="20"/>
          <w:szCs w:val="20"/>
        </w:rPr>
        <w:t>С учетом возможного изменения площади приобретаемого Объекта в силу различных причин, в том числе, ввиду разницы между проектными параметрами и фактическими строительными результатами, Стороны, подписанием настоящего договора согласны, что размер предварительной оплаты не является окончательным и может быть изменен Продавцом ввиду изменения общей площади Объекта из расчета за один квадратный метр площади согласно кадастровому делу. При изменении размера общей площади Объекта, Продавец обязуется направить Покупателю письменное уведомление. Стороны признают, что заключение соответствующего дополнительного соглашения об изменении площади приобретаемого Объекта не требуется. В случае увеличения размера предварительной оплаты недостающая сумма подлежит оплате Покупателем в течение 5 (пяти) банковских дней с момента получения уведомления. В случае уменьшения размера предварительной оплаты сумма, оплаченная Покупателем сверх размера предварительной оплаты, подлежит возврату Продавцом в течение 5 (пяти) банковских дней с момента предоставления Покупателем реквизитов по оплате.</w:t>
      </w:r>
    </w:p>
    <w:p>
      <w:pPr>
        <w:pStyle w:val="para4"/>
        <w:numPr>
          <w:ilvl w:val="1"/>
          <w:numId w:val="22"/>
        </w:numPr>
        <w:ind w:left="0" w:firstLine="567"/>
        <w:spacing/>
        <w:jc w:val="both"/>
        <w:tabs defTabSz="708">
          <w:tab w:val="left" w:pos="993" w:leader="none"/>
        </w:tabs>
        <w:rPr>
          <w:sz w:val="20"/>
          <w:szCs w:val="20"/>
        </w:rPr>
      </w:pPr>
      <w:r>
        <w:rPr>
          <w:sz w:val="20"/>
          <w:szCs w:val="20"/>
        </w:rPr>
        <w:t xml:space="preserve">Любые платежи Покупателя по настоящему договору засчитываются Продавцом согласно следующей очередности: </w:t>
      </w:r>
    </w:p>
    <w:p>
      <w:pPr>
        <w:numPr>
          <w:ilvl w:val="0"/>
          <w:numId w:val="31"/>
        </w:numPr>
        <w:ind w:left="0"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погашение пени, штрафов за неисполнение/ненадлежащее исполнение обязательств по Договору;</w:t>
      </w:r>
    </w:p>
    <w:p>
      <w:pPr>
        <w:numPr>
          <w:ilvl w:val="0"/>
          <w:numId w:val="31"/>
        </w:numPr>
        <w:ind w:left="0"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внесение</w:t>
      </w:r>
      <w:r>
        <w:rPr>
          <w:rFonts w:ascii="Times New Roman" w:hAnsi="Times New Roman" w:cs="Times New Roman"/>
          <w:sz w:val="20"/>
          <w:szCs w:val="20"/>
          <w:lang w:val="uz-Cyrl-uz"/>
        </w:rPr>
        <w:t xml:space="preserve"> </w:t>
      </w:r>
      <w:r>
        <w:rPr>
          <w:sz w:val="20"/>
          <w:szCs w:val="20"/>
        </w:rPr>
        <w:t>предварительной оплаты</w:t>
      </w:r>
      <w:r>
        <w:rPr>
          <w:rFonts w:ascii="Times New Roman" w:hAnsi="Times New Roman" w:cs="Times New Roman"/>
          <w:sz w:val="20"/>
          <w:szCs w:val="20"/>
        </w:rPr>
        <w:t>.</w:t>
      </w:r>
      <w:r>
        <w:rPr>
          <w:rFonts w:ascii="Times New Roman" w:hAnsi="Times New Roman" w:cs="Times New Roman"/>
          <w:sz w:val="20"/>
          <w:szCs w:val="20"/>
        </w:rPr>
      </w:r>
    </w:p>
    <w:p>
      <w:pPr>
        <w:pStyle w:val="para4"/>
        <w:numPr>
          <w:ilvl w:val="1"/>
          <w:numId w:val="22"/>
        </w:numPr>
        <w:ind w:left="0" w:firstLine="567"/>
        <w:spacing/>
        <w:jc w:val="both"/>
        <w:tabs defTabSz="708">
          <w:tab w:val="left" w:pos="993" w:leader="none"/>
        </w:tabs>
        <w:rPr>
          <w:sz w:val="20"/>
          <w:szCs w:val="20"/>
        </w:rPr>
      </w:pPr>
      <w:r>
        <w:rPr>
          <w:sz w:val="20"/>
          <w:szCs w:val="20"/>
        </w:rPr>
        <w:t>В соответствии со статьей 241 Гражданского кодекса Республики Узбекистан обязательства по оплате предварительной суммы, указанной в пункте 1.3. настоящего договора, может быть возложено Инвестором в полном объеме или в части на третье лицо.</w:t>
      </w:r>
    </w:p>
    <w:p>
      <w:pPr>
        <w:pStyle w:val="para4"/>
        <w:ind w:left="567"/>
        <w:spacing/>
        <w:jc w:val="both"/>
        <w:tabs defTabSz="708">
          <w:tab w:val="left" w:pos="993" w:leader="none"/>
        </w:tabs>
        <w:rPr>
          <w:sz w:val="20"/>
          <w:szCs w:val="20"/>
        </w:rPr>
      </w:pPr>
      <w:r>
        <w:rPr>
          <w:sz w:val="20"/>
          <w:szCs w:val="20"/>
        </w:rPr>
      </w:r>
    </w:p>
    <w:p>
      <w:pPr>
        <w:pStyle w:val="para1"/>
        <w:numPr>
          <w:ilvl w:val="0"/>
          <w:numId w:val="3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ПРАВА И ОБЯЗАННОСТИ СТОРОН</w:t>
      </w:r>
    </w:p>
    <w:p>
      <w:pPr>
        <w:pStyle w:val="para1"/>
        <w:ind w:firstLine="567"/>
        <w:tabs defTabSz="708">
          <w:tab w:val="left" w:pos="993" w:leader="none"/>
        </w:tabs>
        <w:rPr>
          <w:rFonts w:ascii="Times New Roman" w:hAnsi="Times New Roman"/>
          <w:color w:val="365f91"/>
          <w:sz w:val="20"/>
          <w:szCs w:val="20"/>
        </w:rPr>
      </w:pPr>
      <w:r>
        <w:rPr>
          <w:rFonts w:ascii="Times New Roman" w:hAnsi="Times New Roman"/>
          <w:color w:val="365f91"/>
          <w:sz w:val="20"/>
          <w:szCs w:val="20"/>
        </w:rPr>
        <w:t>3.1. Права и обязанности Покупателя:</w:t>
      </w:r>
    </w:p>
    <w:p>
      <w:pPr>
        <w:pStyle w:val="para4"/>
        <w:numPr>
          <w:ilvl w:val="2"/>
          <w:numId w:val="37"/>
        </w:numPr>
        <w:ind w:left="0" w:firstLine="567"/>
        <w:spacing/>
        <w:jc w:val="both"/>
        <w:tabs defTabSz="708">
          <w:tab w:val="left" w:pos="1276" w:leader="none"/>
        </w:tabs>
        <w:rPr>
          <w:sz w:val="20"/>
          <w:szCs w:val="20"/>
        </w:rPr>
      </w:pPr>
      <w:r/>
      <w:bookmarkStart w:id="5" w:name="_Hlk69132225"/>
      <w:bookmarkEnd w:id="5"/>
      <w:r/>
      <w:r>
        <w:rPr>
          <w:sz w:val="20"/>
          <w:szCs w:val="20"/>
        </w:rPr>
        <w:t>Покупатель</w:t>
      </w:r>
      <w:r>
        <w:rPr>
          <w:sz w:val="20"/>
          <w:szCs w:val="20"/>
        </w:rPr>
        <w:t xml:space="preserve"> подтверждает, что вышеуказанный объем информации для него достаточен и послужил основанием для принятия решения о заключении договора и оценки рисков своего</w:t>
      </w:r>
      <w:r>
        <w:rPr>
          <w:sz w:val="20"/>
          <w:szCs w:val="20"/>
        </w:rPr>
        <w:t xml:space="preserve"> </w:t>
      </w:r>
      <w:r>
        <w:rPr>
          <w:sz w:val="20"/>
          <w:szCs w:val="20"/>
        </w:rPr>
        <w:t>участия, и он достаточно оценил свое нынешнее и будущее финансовое состояние, позволяющее осуществить надлежащее исполнение своих обязанностей по настоящему договору.</w:t>
      </w:r>
      <w:r>
        <w:rPr>
          <w:sz w:val="20"/>
          <w:szCs w:val="20"/>
        </w:rPr>
      </w:r>
    </w:p>
    <w:p>
      <w:pPr>
        <w:pStyle w:val="para4"/>
        <w:numPr>
          <w:ilvl w:val="2"/>
          <w:numId w:val="37"/>
        </w:numPr>
        <w:ind w:left="0" w:firstLine="567"/>
        <w:spacing/>
        <w:jc w:val="both"/>
        <w:tabs defTabSz="708">
          <w:tab w:val="left" w:pos="1276" w:leader="none"/>
        </w:tabs>
        <w:rPr>
          <w:sz w:val="20"/>
          <w:szCs w:val="20"/>
        </w:rPr>
      </w:pPr>
      <w:r>
        <w:rPr>
          <w:sz w:val="20"/>
          <w:szCs w:val="20"/>
        </w:rPr>
        <w:t>Покупатель имеет право потребовать выплаты пени, штрафных санкций со стороны Продавца за невыполнение или ненадлежащее выполнение обязательств по договору, а также его расторжения в судебном порядке.</w:t>
      </w:r>
    </w:p>
    <w:p>
      <w:pPr>
        <w:pStyle w:val="para4"/>
        <w:numPr>
          <w:ilvl w:val="2"/>
          <w:numId w:val="37"/>
        </w:numPr>
        <w:ind w:left="0" w:firstLine="567"/>
        <w:spacing/>
        <w:jc w:val="both"/>
        <w:tabs defTabSz="708">
          <w:tab w:val="left" w:pos="1276" w:leader="none"/>
        </w:tabs>
        <w:rPr>
          <w:sz w:val="20"/>
          <w:szCs w:val="20"/>
        </w:rPr>
      </w:pPr>
      <w:r>
        <w:rPr>
          <w:sz w:val="20"/>
          <w:szCs w:val="20"/>
        </w:rPr>
        <w:t>Покупатель не вправе осуществлять уступку своих требований по договору третьей стороне без письменного согласия Продавца. Уступка своих требований Покупателем возможна только при оплате последним Продавцу 3% (три процента) от размера предварительной оплаты, указанного в пункте 1.3. настоящего договора.</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обязуется внести предварительную оплату на расчетный счет Продавца в сроки и размерах, указанных в настоящем договоре. </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обязан самостоятельно уплачивать все налоги, сборы и другие обязательные платежи, предусмотренные действующим законодательством и внесением предварительной оплаты. </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обязан возместить убытки, причиненные Продавцу неисполнением или ненадлежащим исполнением договора. </w:t>
      </w:r>
    </w:p>
    <w:p>
      <w:pPr>
        <w:pStyle w:val="para4"/>
        <w:numPr>
          <w:ilvl w:val="2"/>
          <w:numId w:val="37"/>
        </w:numPr>
        <w:ind w:left="0" w:firstLine="567"/>
        <w:spacing/>
        <w:jc w:val="both"/>
        <w:tabs defTabSz="708">
          <w:tab w:val="left" w:pos="1276" w:leader="none"/>
        </w:tabs>
        <w:rPr>
          <w:sz w:val="20"/>
          <w:szCs w:val="20"/>
        </w:rPr>
      </w:pPr>
      <w:r>
        <w:rPr>
          <w:sz w:val="20"/>
          <w:szCs w:val="20"/>
        </w:rPr>
        <w:t>Покупатель обязан явиться в нотариальную контору для оформления передачи права собственности на Объект путем заключения с Продавцом договора купли-продажи Объекта в нотариальной форме.</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после передачи ему Объекта по Акту приема-передачи обязуется: </w:t>
      </w:r>
    </w:p>
    <w:p>
      <w:pPr>
        <w:pStyle w:val="para4"/>
        <w:numPr>
          <w:ilvl w:val="3"/>
          <w:numId w:val="37"/>
        </w:numPr>
        <w:ind w:left="0" w:firstLine="567"/>
        <w:spacing/>
        <w:jc w:val="both"/>
        <w:tabs defTabSz="708">
          <w:tab w:val="left" w:pos="1276" w:leader="none"/>
        </w:tabs>
        <w:rPr>
          <w:sz w:val="20"/>
          <w:szCs w:val="20"/>
        </w:rPr>
      </w:pPr>
      <w:r>
        <w:rPr>
          <w:sz w:val="20"/>
          <w:szCs w:val="20"/>
        </w:rPr>
        <w:t xml:space="preserve">в 10-ти (десяти) дневный срок произвести регистрацию перехода права собственности на Объект в кадастровых органах и самостоятельно нести, все связанные с этим расходы; </w:t>
      </w:r>
    </w:p>
    <w:p>
      <w:pPr>
        <w:pStyle w:val="para4"/>
        <w:numPr>
          <w:ilvl w:val="3"/>
          <w:numId w:val="37"/>
        </w:numPr>
        <w:ind w:left="0" w:firstLine="567"/>
        <w:spacing/>
        <w:jc w:val="both"/>
        <w:tabs defTabSz="708">
          <w:tab w:val="left" w:pos="993" w:leader="none"/>
        </w:tabs>
        <w:rPr>
          <w:sz w:val="20"/>
          <w:szCs w:val="20"/>
        </w:rPr>
      </w:pPr>
      <w:r>
        <w:rPr>
          <w:sz w:val="20"/>
          <w:szCs w:val="20"/>
        </w:rPr>
        <w:t xml:space="preserve">своевременно уведомить Продавца о регистрации перехода права собственности на Объект и в течение 3 (трех) рабочих дней после получения кадастровых документов передать Продавцу или его уполномоченному лицу копию свидетельства о регистрации права на недвижимое имущество; </w:t>
      </w:r>
    </w:p>
    <w:p>
      <w:pPr>
        <w:pStyle w:val="para4"/>
        <w:numPr>
          <w:ilvl w:val="3"/>
          <w:numId w:val="37"/>
        </w:numPr>
        <w:ind w:left="0" w:firstLine="567"/>
        <w:spacing/>
        <w:jc w:val="both"/>
        <w:tabs defTabSz="708">
          <w:tab w:val="left" w:pos="993" w:leader="none"/>
        </w:tabs>
        <w:rPr>
          <w:sz w:val="20"/>
          <w:szCs w:val="20"/>
        </w:rPr>
      </w:pPr>
      <w:r>
        <w:rPr>
          <w:sz w:val="20"/>
          <w:szCs w:val="20"/>
        </w:rPr>
        <w:t xml:space="preserve">в течение 5 (пяти) рабочих дней после получения кадастровых документов оформить договоры на поставку коммунальных услуг и открыть лицевые счета на имя Покупателя с обязательным уведомлением Продавца в течение 3 (трех) рабочих дней после оформления договоров поставки коммунальных услуг и открытия лицевых счетов; </w:t>
      </w:r>
    </w:p>
    <w:p>
      <w:pPr>
        <w:pStyle w:val="para4"/>
        <w:numPr>
          <w:ilvl w:val="3"/>
          <w:numId w:val="37"/>
        </w:numPr>
        <w:ind w:left="0" w:firstLine="567"/>
        <w:spacing/>
        <w:jc w:val="both"/>
        <w:tabs defTabSz="708">
          <w:tab w:val="left" w:pos="993" w:leader="none"/>
        </w:tabs>
        <w:rPr>
          <w:sz w:val="20"/>
          <w:szCs w:val="20"/>
        </w:rPr>
      </w:pPr>
      <w:r>
        <w:rPr>
          <w:sz w:val="20"/>
          <w:szCs w:val="20"/>
        </w:rPr>
        <w:t>соблюдать технические, противопожарные и санитарные правила и нормы эксплуатации Объекта, Комплекса и прилегающей территории;</w:t>
      </w:r>
    </w:p>
    <w:p>
      <w:pPr>
        <w:pStyle w:val="para4"/>
        <w:numPr>
          <w:ilvl w:val="3"/>
          <w:numId w:val="37"/>
        </w:numPr>
        <w:ind w:left="0" w:firstLine="567"/>
        <w:spacing/>
        <w:jc w:val="both"/>
        <w:tabs defTabSz="708">
          <w:tab w:val="left" w:pos="993" w:leader="none"/>
        </w:tabs>
        <w:rPr>
          <w:sz w:val="20"/>
          <w:szCs w:val="20"/>
        </w:rPr>
      </w:pPr>
      <w:r>
        <w:rPr>
          <w:sz w:val="20"/>
          <w:szCs w:val="20"/>
        </w:rPr>
        <w:t>своевременно оплачивать коммунальные услуги, а также взносы и расходы, необходимые для содержания общего имущества в Комплексе и прилегающего к нему земельного участка с элементами благоустройства;</w:t>
      </w:r>
    </w:p>
    <w:p>
      <w:pPr>
        <w:pStyle w:val="para4"/>
        <w:numPr>
          <w:ilvl w:val="3"/>
          <w:numId w:val="37"/>
        </w:numPr>
        <w:ind w:left="0" w:firstLine="567"/>
        <w:spacing/>
        <w:jc w:val="both"/>
        <w:tabs defTabSz="708">
          <w:tab w:val="left" w:pos="993" w:leader="none"/>
        </w:tabs>
        <w:rPr>
          <w:sz w:val="20"/>
          <w:szCs w:val="20"/>
        </w:rPr>
      </w:pPr>
      <w:r>
        <w:rPr>
          <w:sz w:val="20"/>
          <w:szCs w:val="20"/>
        </w:rPr>
        <w:t>не производить без письменного разрешения Продавца и проектной организации (проектировщик Комплекса), разработавшей проектную документацию Объекта, как до ввода Объекта в эксплуатацию, так и в период эксплуатации, каких-либо работ, не предусмотренных проектной документацией (Рабочий проект), в том числе, включая, но, не ограничиваясь: возведения дополнительных конструкций (ограждений, веранд, мансард, временных сооружений, декоративных конструкций и т.п.), перепланировки помещений, переоборудования и/или нарушения целостности несущих стен, колонн, кровли, перекрытий кровли, вентиляционных каналов, пробивку проемов и ниш в несущих стенах и диафрагмах жесткости, изменения внешнего вида Объекта, фасада, устройства подвалов, возведение любых самостоятельных строений, пристроек, изменения проектных решений внутреннего электроснабжения и инженерных коммуникаций (канализация, холодное водоснабжение), а также любых иных изменений в планировке Объекта и/или инженерных коммуникациях. В случае выявления Продавцом результатов работ, не предусмотренных проектной документацией (Рабочий проект), как заключения договора купли-продажи в нотариальной форме, так и после его заключения, Покупатель обязан за свой счет устранить их. В случае выполнения Покупателем несогласованных работ, перечисленных в настоящем пункте, то на Объект не будут распространяться гарантийные обязательства Продавца, предусмотренные настоящим Договором, Продавец освобождаются от ответственности по подписанию договора купли-продажи с Покупателем, устранению замечаний на Объекте, и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 расходы при устранении результатов несогласованных работ;</w:t>
      </w:r>
    </w:p>
    <w:p>
      <w:pPr>
        <w:pStyle w:val="para4"/>
        <w:numPr>
          <w:ilvl w:val="3"/>
          <w:numId w:val="37"/>
        </w:numPr>
        <w:ind w:left="0" w:firstLine="567"/>
        <w:spacing/>
        <w:jc w:val="both"/>
        <w:tabs defTabSz="708">
          <w:tab w:val="left" w:pos="993" w:leader="none"/>
        </w:tabs>
        <w:rPr>
          <w:sz w:val="20"/>
          <w:szCs w:val="20"/>
        </w:rPr>
      </w:pPr>
      <w:r>
        <w:rPr>
          <w:sz w:val="20"/>
          <w:szCs w:val="20"/>
        </w:rPr>
        <w:t>в случае установки системы кондиционирования воздуха согласовать предварительно с Продавцом место размещения наружного блока кондиционера на фасадной части Комплекса. В случае установки кондиционера без согласования, а также в неположенном месте, Покупатель обязуется демонтировать наружный блок в течение 5 календарных дней с момента предупреждения. Продавец также имеет право самостоятельно или с привлечением третьих лиц демонтировать наружную часть кондиционера с последующим выставлением Покупателю требования на возмещение расходов;</w:t>
      </w:r>
    </w:p>
    <w:p>
      <w:pPr>
        <w:pStyle w:val="para4"/>
        <w:numPr>
          <w:ilvl w:val="3"/>
          <w:numId w:val="37"/>
        </w:numPr>
        <w:ind w:left="0" w:firstLine="567"/>
        <w:spacing/>
        <w:jc w:val="both"/>
        <w:tabs defTabSz="708">
          <w:tab w:val="left" w:pos="993" w:leader="none"/>
        </w:tabs>
        <w:rPr>
          <w:sz w:val="20"/>
          <w:szCs w:val="20"/>
        </w:rPr>
      </w:pPr>
      <w:r>
        <w:rPr>
          <w:sz w:val="20"/>
          <w:szCs w:val="20"/>
        </w:rPr>
        <w:t>при монтаже внутренних инженерных сетей обеспечить выдерживание их проектных нагрузок; не производить без письменного согласования Продавца увеличение потребления мощности тепло- электроснабжения, проведение дополнительных инженерных коммуникаций, в том числе, тепло- электроснабжения к пристройкам, отдельным строениям и сооружениям, возведенным Покупателем. Не допускается самовольное, без согласования с Продавцом увеличение, перенос или уменьшение количества приборов отопления, установка терморегуляторов, изменение трассировки и диаметра трубопроводов, электрических сетей, устройство теплых полов и прочее, которые могут повлечь за собой разбалансировку домовых инженерных систем и ухудшение их работы – недостаточную теплоотдачу отопительных приборов, низкое давление горячей и холодной воды, пониженное напряжение в электросети и прочее; либо привести к аварийным ситуациям. Покупатель в случае совершения им действий, предусмотренных настоящим пунктом в согласованном либо несогласованном порядке и превышении проектных нагрузок по тепло-электроснабжению, обязан оплатить стоимость всех затрат по ремонту/замене тепло-электрооборудования, сетей тепло-электроснабжения Комплекса. При этом, Продавец вправе отключить Объект от услуг тепло-электроснабжения;</w:t>
      </w:r>
    </w:p>
    <w:p>
      <w:pPr>
        <w:pStyle w:val="para4"/>
        <w:numPr>
          <w:ilvl w:val="3"/>
          <w:numId w:val="37"/>
        </w:numPr>
        <w:ind w:left="0" w:firstLine="567"/>
        <w:spacing/>
        <w:jc w:val="both"/>
        <w:tabs defTabSz="708">
          <w:tab w:val="left" w:pos="993" w:leader="none"/>
        </w:tabs>
        <w:rPr>
          <w:sz w:val="20"/>
          <w:szCs w:val="20"/>
        </w:rPr>
      </w:pPr>
      <w:r>
        <w:rPr>
          <w:sz w:val="20"/>
          <w:szCs w:val="20"/>
        </w:rPr>
        <w:t>немедленно извещать Продавца о всяком наступившем повреждении, аварии или ином событии, нанесшем или грозящем нанести ущерб Объекту, и своевременно принимать все возможные меры по их предотвращению до прибытия представителя Продавца;</w:t>
      </w:r>
    </w:p>
    <w:p>
      <w:pPr>
        <w:pStyle w:val="para4"/>
        <w:numPr>
          <w:ilvl w:val="3"/>
          <w:numId w:val="37"/>
        </w:numPr>
        <w:ind w:left="0" w:firstLine="567"/>
        <w:spacing/>
        <w:jc w:val="both"/>
        <w:tabs defTabSz="708">
          <w:tab w:val="left" w:pos="993" w:leader="none"/>
        </w:tabs>
        <w:rPr>
          <w:sz w:val="20"/>
          <w:szCs w:val="20"/>
        </w:rPr>
      </w:pPr>
      <w:r>
        <w:rPr>
          <w:sz w:val="20"/>
          <w:szCs w:val="20"/>
        </w:rPr>
        <w:t xml:space="preserve"> выполнять в установленный срок все предписания, указания и/или уведомления Продавца и/или уполномоченных государственных органов о принятии мер по устранению обстоятельств, возникших в результате деятельности Покупателя, а также обстоятельств, ставящих под угрозу сохранность Комплекса/Объекта, экологическую и санитарную обстановку вне Комплекса/Объекта, а также по соблюдению обязательств Покупателя, предусмотренных иными пунктами настоящего Договора;</w:t>
      </w:r>
    </w:p>
    <w:p>
      <w:pPr>
        <w:pStyle w:val="para4"/>
        <w:numPr>
          <w:ilvl w:val="3"/>
          <w:numId w:val="37"/>
        </w:numPr>
        <w:ind w:left="0" w:firstLine="567"/>
        <w:spacing/>
        <w:jc w:val="both"/>
        <w:tabs defTabSz="708">
          <w:tab w:val="left" w:pos="993" w:leader="none"/>
        </w:tabs>
        <w:rPr>
          <w:sz w:val="20"/>
          <w:szCs w:val="20"/>
        </w:rPr>
      </w:pPr>
      <w:r>
        <w:rPr>
          <w:sz w:val="20"/>
          <w:szCs w:val="20"/>
        </w:rPr>
        <w:t xml:space="preserve"> нести риски утраты, повреждения или уничтожения Объекта. Покупатель гарантирует возмещение всякого рода ущерба и ограждает Продавца от любых обязательств, претензий, судебных разбирательств, ущерба, убытков, затрат и расходов любого рода, возникших в связи или в результате:</w:t>
      </w:r>
    </w:p>
    <w:p>
      <w:pPr>
        <w:pStyle w:val="para4"/>
        <w:numPr>
          <w:ilvl w:val="3"/>
          <w:numId w:val="35"/>
        </w:numPr>
        <w:ind w:left="0" w:firstLine="567"/>
        <w:spacing/>
        <w:jc w:val="both"/>
        <w:tabs defTabSz="708">
          <w:tab w:val="left" w:pos="851" w:leader="none"/>
        </w:tabs>
        <w:rPr>
          <w:sz w:val="20"/>
          <w:szCs w:val="20"/>
        </w:rPr>
      </w:pPr>
      <w:r>
        <w:rPr>
          <w:sz w:val="20"/>
          <w:szCs w:val="20"/>
        </w:rPr>
        <w:t>травмы, заболевания или смерти любого лица, привлеченного Покупателем и/или третьих лиц;</w:t>
      </w:r>
    </w:p>
    <w:p>
      <w:pPr>
        <w:pStyle w:val="para4"/>
        <w:numPr>
          <w:ilvl w:val="3"/>
          <w:numId w:val="35"/>
        </w:numPr>
        <w:ind w:left="0" w:firstLine="567"/>
        <w:spacing/>
        <w:jc w:val="both"/>
        <w:tabs defTabSz="708">
          <w:tab w:val="left" w:pos="851" w:leader="none"/>
        </w:tabs>
        <w:rPr>
          <w:sz w:val="20"/>
          <w:szCs w:val="20"/>
        </w:rPr>
      </w:pPr>
      <w:r>
        <w:rPr>
          <w:sz w:val="20"/>
          <w:szCs w:val="20"/>
        </w:rPr>
        <w:t>причинения убытков и/или ущерба Комплексу, а также прилегающей территории Комплекса, вызванных умышленным нарушением или грубой неосторожностью любого лица, привлеченного Покупателем, или непосредственно Покупателем;</w:t>
      </w:r>
    </w:p>
    <w:p>
      <w:pPr>
        <w:pStyle w:val="para4"/>
        <w:numPr>
          <w:ilvl w:val="3"/>
          <w:numId w:val="35"/>
        </w:numPr>
        <w:ind w:left="0" w:firstLine="567"/>
        <w:spacing/>
        <w:jc w:val="both"/>
        <w:tabs defTabSz="708">
          <w:tab w:val="left" w:pos="851" w:leader="none"/>
        </w:tabs>
        <w:rPr>
          <w:sz w:val="20"/>
          <w:szCs w:val="20"/>
        </w:rPr>
      </w:pPr>
      <w:r>
        <w:rPr>
          <w:sz w:val="20"/>
          <w:szCs w:val="20"/>
        </w:rPr>
        <w:t>потери или причинения ущерба имуществу третьего лица;</w:t>
      </w:r>
    </w:p>
    <w:p>
      <w:pPr>
        <w:pStyle w:val="para4"/>
        <w:numPr>
          <w:ilvl w:val="3"/>
          <w:numId w:val="35"/>
        </w:numPr>
        <w:ind w:left="0" w:firstLine="567"/>
        <w:spacing/>
        <w:jc w:val="both"/>
        <w:tabs defTabSz="708">
          <w:tab w:val="left" w:pos="851" w:leader="none"/>
        </w:tabs>
        <w:rPr>
          <w:sz w:val="20"/>
          <w:szCs w:val="20"/>
        </w:rPr>
      </w:pPr>
      <w:r>
        <w:rPr>
          <w:sz w:val="20"/>
          <w:szCs w:val="20"/>
        </w:rPr>
        <w:t>нарушения Покупателем норм законодательства Республики Узбекистан, повлекшие привлечение Продавца к какой-либо ответственности;</w:t>
      </w:r>
    </w:p>
    <w:p>
      <w:pPr>
        <w:pStyle w:val="para4"/>
        <w:numPr>
          <w:ilvl w:val="3"/>
          <w:numId w:val="37"/>
        </w:numPr>
        <w:ind w:left="0" w:firstLine="567"/>
        <w:spacing/>
        <w:jc w:val="both"/>
        <w:tabs defTabSz="708">
          <w:tab w:val="left" w:pos="993" w:leader="none"/>
        </w:tabs>
        <w:rPr>
          <w:sz w:val="20"/>
          <w:szCs w:val="20"/>
        </w:rPr>
      </w:pPr>
      <w:r>
        <w:rPr>
          <w:sz w:val="20"/>
          <w:szCs w:val="20"/>
        </w:rPr>
        <w:t xml:space="preserve"> в целях соблюдения единого архитектурного решения Комплекса, в частности сохранения его сложившегося индивидуального облика и составляющих его фасадов, кровли, цоколей, ограждений и малых архитектурных форм, не осуществлять до и после ввода Объекта в эксплуатацию изменение внешнего облика Объекта, фасада, кровли, устройство дополнительных пристроек и отдельных строений, изменение ограждения участка без письменного согласования с Продавцом. Покупатель понимает и соглашается, что в случае осуществления подобных действий без письменного согласования с Продавцом, Покупатель обязан самостоятельно устранить нарушение в течение 14 (четырнадцать) календарных дней с момента установления факта нарушения, либо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ими расходы при устранении результатов несогласованных работ.</w:t>
      </w:r>
    </w:p>
    <w:p>
      <w:pPr>
        <w:pStyle w:val="para4"/>
        <w:ind w:left="567"/>
        <w:spacing/>
        <w:jc w:val="both"/>
        <w:tabs defTabSz="708">
          <w:tab w:val="left" w:pos="993" w:leader="none"/>
        </w:tabs>
        <w:rPr>
          <w:sz w:val="20"/>
          <w:szCs w:val="20"/>
        </w:rPr>
      </w:pPr>
      <w:r>
        <w:rPr>
          <w:sz w:val="20"/>
          <w:szCs w:val="20"/>
        </w:rPr>
      </w:r>
    </w:p>
    <w:p>
      <w:pPr>
        <w:pStyle w:val="para1"/>
        <w:ind w:firstLine="567"/>
        <w:tabs defTabSz="708">
          <w:tab w:val="left" w:pos="993" w:leader="none"/>
        </w:tabs>
        <w:rPr>
          <w:rFonts w:ascii="Times New Roman" w:hAnsi="Times New Roman"/>
          <w:color w:val="365f91"/>
          <w:sz w:val="20"/>
          <w:szCs w:val="20"/>
        </w:rPr>
      </w:pPr>
      <w:r>
        <w:rPr>
          <w:rFonts w:ascii="Times New Roman" w:hAnsi="Times New Roman"/>
          <w:color w:val="365f91"/>
          <w:sz w:val="20"/>
          <w:szCs w:val="20"/>
        </w:rPr>
        <w:t xml:space="preserve">3.2. Права и обязанности Продавца: </w:t>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3.2.1. Продавец вправе удерживать передачу Объекта по акту приема-передачи и не заключать договор купли-продажи в нотариальной форме до момента полного исполнения Покупателем своих договорных обязательств.</w:t>
      </w:r>
    </w:p>
    <w:p>
      <w:pPr>
        <w:pStyle w:val="para1"/>
        <w:ind w:firstLine="567"/>
        <w:tabs defTabSz="708">
          <w:tab w:val="left" w:pos="1276" w:leader="none"/>
        </w:tabs>
        <w:rPr>
          <w:rFonts w:ascii="Times New Roman" w:hAnsi="Times New Roman"/>
          <w:sz w:val="20"/>
          <w:szCs w:val="20"/>
        </w:rPr>
      </w:pPr>
      <w:r>
        <w:rPr>
          <w:rFonts w:ascii="Times New Roman" w:hAnsi="Times New Roman"/>
          <w:b w:val="0"/>
          <w:bCs w:val="0"/>
          <w:color w:val="auto"/>
          <w:kern w:val="1"/>
          <w:sz w:val="20"/>
          <w:szCs w:val="20"/>
        </w:rPr>
        <w:t>3.2.2. Продавец имеет право вносить изменения в проектно-сметную документацию. В случае изменения площади Объекта ввиду вносимых изменений в проектно-сметную документацию, применяются положения пункта 2.3. настоящего договора.</w:t>
      </w:r>
      <w:r>
        <w:rPr>
          <w:rFonts w:ascii="Times New Roman" w:hAnsi="Times New Roman"/>
          <w:sz w:val="20"/>
          <w:szCs w:val="20"/>
        </w:rPr>
        <w:tab/>
      </w:r>
      <w:r/>
      <w:bookmarkStart w:id="6" w:name="_Hlk68884489"/>
      <w:bookmarkEnd w:id="6"/>
      <w:r/>
      <w:r>
        <w:rPr>
          <w:rFonts w:ascii="Times New Roman" w:hAnsi="Times New Roman"/>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3.2.3. Стороны пришли к соглашению и подписанием договора подтверждают, что Продавец вправе увеличить общую стоимость Объекта (взноса) в одностороннем порядке, в случае внесения изменений в налоговое законодательство, которые непосредственно влияют на увеличение стоимости Объекта. При этом увеличение стоимости взноса производится пропорционально возникновения налоговой нагрузки на Продавца.</w:t>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3.2.4. В случае изменения проектно-сметной документации Комплекса, Продавец вправе в одностороннем порядке изменить порядковый номер Объекта и направить Покупателю соответствующее уведомление. При изменении порядкового номера Объекта, остальные параметры Объекта остаются без изменений.</w:t>
      </w:r>
    </w:p>
    <w:p>
      <w:pPr>
        <w:pStyle w:val="para1"/>
        <w:ind w:firstLine="567"/>
        <w:tabs defTabSz="708">
          <w:tab w:val="left" w:pos="1276" w:leader="none"/>
        </w:tabs>
        <w:rPr>
          <w:rFonts w:ascii="Times New Roman" w:hAnsi="Times New Roman"/>
          <w:sz w:val="20"/>
          <w:szCs w:val="20"/>
        </w:rPr>
      </w:pPr>
      <w:r>
        <w:rPr>
          <w:rFonts w:ascii="Times New Roman" w:hAnsi="Times New Roman"/>
          <w:b w:val="0"/>
          <w:bCs w:val="0"/>
          <w:color w:val="auto"/>
          <w:kern w:val="1"/>
          <w:sz w:val="20"/>
          <w:szCs w:val="20"/>
        </w:rPr>
        <w:t xml:space="preserve">3.2.5. Продавец, в соответствии с действующим в Республике Узбекистан строительными нормами и правилами, проектно-сметной документацией, обязуется завершить основные строительно-монтажные работы на Комплексе в срок до </w:t>
      </w:r>
      <w:r/>
      <w:bookmarkStart w:id="7" w:name="_Hlk67508050"/>
      <w:bookmarkEnd w:id="7"/>
      <w:r/>
      <w:r>
        <w:rPr>
          <w:rFonts w:ascii="Times New Roman" w:hAnsi="Times New Roman"/>
          <w:b w:val="0"/>
          <w:bCs w:val="0"/>
          <w:color w:val="auto"/>
          <w:kern w:val="1"/>
          <w:sz w:val="20"/>
          <w:szCs w:val="20"/>
        </w:rPr>
        <w:t>3</w:t>
      </w:r>
      <w:r>
        <w:rPr>
          <w:rFonts w:ascii="Times New Roman" w:hAnsi="Times New Roman"/>
          <w:b w:val="0"/>
          <w:bCs w:val="0"/>
          <w:color w:val="auto"/>
          <w:kern w:val="1"/>
          <w:sz w:val="20"/>
          <w:szCs w:val="20"/>
        </w:rPr>
        <w:t>0</w:t>
      </w:r>
      <w:r>
        <w:rPr>
          <w:rFonts w:ascii="Times New Roman" w:hAnsi="Times New Roman"/>
          <w:b w:val="0"/>
          <w:bCs w:val="0"/>
          <w:color w:val="auto"/>
          <w:kern w:val="1"/>
          <w:sz w:val="20"/>
          <w:szCs w:val="20"/>
        </w:rPr>
        <w:t xml:space="preserve"> </w:t>
      </w:r>
      <w:r>
        <w:rPr>
          <w:rFonts w:ascii="Times New Roman" w:hAnsi="Times New Roman"/>
          <w:b w:val="0"/>
          <w:bCs w:val="0"/>
          <w:color w:val="auto"/>
          <w:kern w:val="1"/>
          <w:sz w:val="20"/>
          <w:szCs w:val="20"/>
        </w:rPr>
        <w:t>июня</w:t>
      </w:r>
      <w:r>
        <w:rPr>
          <w:rFonts w:ascii="Times New Roman" w:hAnsi="Times New Roman"/>
          <w:b w:val="0"/>
          <w:bCs w:val="0"/>
          <w:color w:val="auto"/>
          <w:kern w:val="1"/>
          <w:sz w:val="20"/>
          <w:szCs w:val="20"/>
        </w:rPr>
        <w:t xml:space="preserve"> 202</w:t>
      </w:r>
      <w:r>
        <w:rPr>
          <w:rFonts w:ascii="Times New Roman" w:hAnsi="Times New Roman"/>
          <w:b w:val="0"/>
          <w:bCs w:val="0"/>
          <w:color w:val="auto"/>
          <w:kern w:val="1"/>
          <w:sz w:val="20"/>
          <w:szCs w:val="20"/>
        </w:rPr>
        <w:t>2</w:t>
      </w:r>
      <w:r>
        <w:rPr>
          <w:rFonts w:ascii="Times New Roman" w:hAnsi="Times New Roman"/>
          <w:b w:val="0"/>
          <w:bCs w:val="0"/>
          <w:color w:val="auto"/>
          <w:kern w:val="1"/>
          <w:sz w:val="20"/>
          <w:szCs w:val="20"/>
        </w:rPr>
        <w:t xml:space="preserve"> года</w:t>
      </w:r>
      <w:r>
        <w:rPr>
          <w:rFonts w:ascii="Times New Roman" w:hAnsi="Times New Roman"/>
          <w:b w:val="0"/>
          <w:bCs w:val="0"/>
          <w:color w:val="auto"/>
          <w:kern w:val="1"/>
          <w:sz w:val="20"/>
          <w:szCs w:val="20"/>
        </w:rPr>
        <w:t>.</w:t>
      </w:r>
      <w:r>
        <w:rPr>
          <w:rFonts w:ascii="Times New Roman" w:hAnsi="Times New Roman"/>
          <w:b w:val="0"/>
          <w:bCs w:val="0"/>
          <w:color w:val="auto"/>
          <w:kern w:val="1"/>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получить Акт приемки в эксплуатацию</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 xml:space="preserve">Комплекса в срок, не превышающий </w:t>
      </w:r>
      <w:r>
        <w:rPr>
          <w:rFonts w:ascii="Times New Roman" w:hAnsi="Times New Roman"/>
          <w:b w:val="0"/>
          <w:bCs w:val="0"/>
          <w:color w:val="auto"/>
          <w:kern w:val="1"/>
          <w:sz w:val="20"/>
          <w:szCs w:val="20"/>
        </w:rPr>
        <w:t>60 (шестьдесят)</w:t>
      </w:r>
      <w:r>
        <w:rPr>
          <w:rFonts w:ascii="Times New Roman" w:hAnsi="Times New Roman"/>
          <w:b w:val="0"/>
          <w:bCs w:val="0"/>
          <w:color w:val="auto"/>
          <w:kern w:val="1"/>
          <w:sz w:val="20"/>
          <w:szCs w:val="20"/>
        </w:rPr>
        <w:t xml:space="preserve"> рабочих дней с момента завершения основных строительно-монтажных работ на Комплексе, а также в этот же срок оформить кадастровую документацию, подтверждающую регистрацию права собственности на Объект. При этом в рабочие дни по Договору не включаются суббота, воскресенье и праздничные дни.</w:t>
      </w:r>
      <w:r>
        <w:rPr>
          <w:rFonts w:ascii="Times New Roman" w:hAnsi="Times New Roman"/>
          <w:sz w:val="20"/>
          <w:szCs w:val="20"/>
        </w:rPr>
        <w:t xml:space="preserve"> </w:t>
      </w:r>
      <w:r>
        <w:rPr>
          <w:rFonts w:ascii="Times New Roman" w:hAnsi="Times New Roman"/>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3.2.6.</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не позднее </w:t>
      </w:r>
      <w:r>
        <w:rPr>
          <w:rFonts w:ascii="Times New Roman" w:hAnsi="Times New Roman"/>
          <w:b w:val="0"/>
          <w:bCs w:val="0"/>
          <w:color w:val="auto"/>
          <w:kern w:val="1"/>
          <w:sz w:val="20"/>
          <w:szCs w:val="20"/>
        </w:rPr>
        <w:t>90 (девяносто)</w:t>
      </w:r>
      <w:r>
        <w:rPr>
          <w:rFonts w:ascii="Times New Roman" w:hAnsi="Times New Roman"/>
          <w:b w:val="0"/>
          <w:bCs w:val="0"/>
          <w:color w:val="auto"/>
          <w:kern w:val="1"/>
          <w:sz w:val="20"/>
          <w:szCs w:val="20"/>
        </w:rPr>
        <w:t xml:space="preserve"> рабочих дней после оформления права собственности на Объект после внесения </w:t>
      </w:r>
      <w:r>
        <w:rPr>
          <w:rFonts w:ascii="Times New Roman" w:hAnsi="Times New Roman"/>
          <w:b w:val="0"/>
          <w:bCs w:val="0"/>
          <w:color w:val="auto"/>
          <w:sz w:val="20"/>
          <w:szCs w:val="20"/>
        </w:rPr>
        <w:t>предварительной оплаты</w:t>
      </w:r>
      <w:r>
        <w:rPr>
          <w:rFonts w:ascii="Times New Roman" w:hAnsi="Times New Roman"/>
          <w:b w:val="0"/>
          <w:bCs w:val="0"/>
          <w:color w:val="auto"/>
          <w:kern w:val="1"/>
          <w:sz w:val="20"/>
          <w:szCs w:val="20"/>
        </w:rPr>
        <w:t xml:space="preserve">, с учетом доплат/возвратов согласно пунктам 1.4., 2.3. настоящего договора, погашения иных задолженностей Сторон, обязуется передать </w:t>
      </w:r>
      <w:r>
        <w:rPr>
          <w:rFonts w:ascii="Times New Roman" w:hAnsi="Times New Roman"/>
          <w:b w:val="0"/>
          <w:bCs w:val="0"/>
          <w:color w:val="auto"/>
          <w:kern w:val="1"/>
          <w:sz w:val="20"/>
          <w:szCs w:val="20"/>
        </w:rPr>
        <w:t>Покупателю</w:t>
      </w:r>
      <w:r>
        <w:rPr>
          <w:rFonts w:ascii="Times New Roman" w:hAnsi="Times New Roman"/>
          <w:b w:val="0"/>
          <w:bCs w:val="0"/>
          <w:color w:val="auto"/>
          <w:kern w:val="1"/>
          <w:sz w:val="20"/>
          <w:szCs w:val="20"/>
        </w:rPr>
        <w:t xml:space="preserve"> право собственности на Объект путем заключения с </w:t>
      </w:r>
      <w:r>
        <w:rPr>
          <w:rFonts w:ascii="Times New Roman" w:hAnsi="Times New Roman"/>
          <w:b w:val="0"/>
          <w:bCs w:val="0"/>
          <w:color w:val="auto"/>
          <w:kern w:val="1"/>
          <w:sz w:val="20"/>
          <w:szCs w:val="20"/>
        </w:rPr>
        <w:t>Покупателем</w:t>
      </w:r>
      <w:r>
        <w:rPr>
          <w:rFonts w:ascii="Times New Roman" w:hAnsi="Times New Roman"/>
          <w:b w:val="0"/>
          <w:bCs w:val="0"/>
          <w:color w:val="auto"/>
          <w:kern w:val="1"/>
          <w:sz w:val="20"/>
          <w:szCs w:val="20"/>
        </w:rPr>
        <w:t xml:space="preserve"> договора купли-продажи Объекта в нотариальной форме. </w:t>
      </w:r>
      <w:r>
        <w:rPr>
          <w:rFonts w:ascii="Times New Roman" w:hAnsi="Times New Roman"/>
          <w:b w:val="0"/>
          <w:bCs w:val="0"/>
          <w:color w:val="auto"/>
          <w:kern w:val="1"/>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3.2.7. Продавец имеет право в одностороннем порядке изменить сроки завершения строительства Объекта, если это связано с выполнением дополнительных требований уполномоченных государственных органов, касающихся условий строительства Объекта, но не более чем на три месяца, и это не будет являться нарушением сроков строительства, указанных в подпункте 3.2.5. настоящего договора.</w:t>
      </w:r>
    </w:p>
    <w:p>
      <w:pPr>
        <w:pStyle w:val="para1"/>
        <w:ind w:firstLine="567"/>
        <w:tabs defTabSz="708">
          <w:tab w:val="left" w:pos="1134"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3.2.8.</w:t>
      </w:r>
      <w:r>
        <w:rPr>
          <w:rFonts w:ascii="Times New Roman" w:hAnsi="Times New Roman"/>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передать </w:t>
      </w:r>
      <w:r>
        <w:rPr>
          <w:rFonts w:ascii="Times New Roman" w:hAnsi="Times New Roman"/>
          <w:b w:val="0"/>
          <w:bCs w:val="0"/>
          <w:color w:val="auto"/>
          <w:kern w:val="1"/>
          <w:sz w:val="20"/>
          <w:szCs w:val="20"/>
        </w:rPr>
        <w:t>Покупателю</w:t>
      </w:r>
      <w:r>
        <w:rPr>
          <w:rFonts w:ascii="Times New Roman" w:hAnsi="Times New Roman"/>
          <w:b w:val="0"/>
          <w:bCs w:val="0"/>
          <w:color w:val="auto"/>
          <w:kern w:val="1"/>
          <w:sz w:val="20"/>
          <w:szCs w:val="20"/>
        </w:rPr>
        <w:t xml:space="preserve"> Объект, качество которого соответствует условиям договора, требованиям проектной документации и градостроительных норм, а также иным обязательным требованиям, предусмотренным законодательством Республики Узбекистан.</w:t>
      </w:r>
      <w:r>
        <w:rPr>
          <w:rFonts w:ascii="Times New Roman" w:hAnsi="Times New Roman"/>
          <w:b w:val="0"/>
          <w:bCs w:val="0"/>
          <w:color w:val="auto"/>
          <w:kern w:val="1"/>
          <w:sz w:val="20"/>
          <w:szCs w:val="20"/>
        </w:rPr>
      </w:r>
    </w:p>
    <w:p>
      <w:pPr>
        <w:pStyle w:val="para1"/>
        <w:ind w:firstLine="567"/>
        <w:tabs defTabSz="708">
          <w:tab w:val="left" w:pos="1134" w:leader="none"/>
        </w:tabs>
        <w:rPr>
          <w:rFonts w:ascii="Times New Roman" w:hAnsi="Times New Roman"/>
          <w:sz w:val="20"/>
          <w:szCs w:val="20"/>
        </w:rPr>
      </w:pPr>
      <w:r/>
      <w:bookmarkStart w:id="8" w:name="_Hlk68884512"/>
      <w:bookmarkEnd w:id="8"/>
      <w:r/>
      <w:r>
        <w:rPr>
          <w:rFonts w:ascii="Times New Roman" w:hAnsi="Times New Roman"/>
          <w:b w:val="0"/>
          <w:bCs w:val="0"/>
          <w:color w:val="auto"/>
          <w:kern w:val="1"/>
          <w:sz w:val="20"/>
          <w:szCs w:val="20"/>
        </w:rPr>
        <w:t xml:space="preserve">3.2.9.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выполнять требования уполномоченных государственных органов, предъявляемых в пределах их компетенции, в части ведения, завершения и надлежащего оформления строительства объектов жилого и нежилого фонда.</w:t>
      </w:r>
      <w:r>
        <w:rPr>
          <w:rFonts w:ascii="Times New Roman" w:hAnsi="Times New Roman"/>
          <w:sz w:val="20"/>
          <w:szCs w:val="20"/>
        </w:rPr>
        <w:t xml:space="preserve"> </w:t>
      </w:r>
      <w:r>
        <w:rPr>
          <w:rFonts w:ascii="Times New Roman" w:hAnsi="Times New Roman"/>
          <w:sz w:val="20"/>
          <w:szCs w:val="20"/>
        </w:rPr>
      </w:r>
    </w:p>
    <w:p>
      <w:pPr>
        <w:pStyle w:val="para3"/>
        <w:numPr>
          <w:ilvl w:val="2"/>
          <w:numId w:val="12"/>
        </w:numPr>
        <w:ind w:left="0" w:firstLine="567"/>
        <w:spacing/>
        <w:jc w:val="both"/>
        <w:tabs defTabSz="708">
          <w:tab w:val="left" w:pos="1134" w:leader="none"/>
        </w:tabs>
        <w:rPr>
          <w:sz w:val="20"/>
          <w:szCs w:val="20"/>
        </w:rPr>
      </w:pPr>
      <w:r>
        <w:rPr>
          <w:sz w:val="20"/>
          <w:szCs w:val="20"/>
        </w:rPr>
        <w:t>Продавец обязан самостоятельно, за собственный счет произвести сбор необходимых документов для заключения нотариально удостоверяемого договора с Покупателем.</w:t>
      </w:r>
    </w:p>
    <w:p>
      <w:pPr>
        <w:pStyle w:val="para3"/>
        <w:numPr>
          <w:ilvl w:val="2"/>
          <w:numId w:val="12"/>
        </w:numPr>
        <w:ind w:left="0" w:firstLine="567"/>
        <w:spacing/>
        <w:jc w:val="both"/>
        <w:tabs defTabSz="708">
          <w:tab w:val="left" w:pos="1134" w:leader="none"/>
        </w:tabs>
        <w:rPr>
          <w:sz w:val="20"/>
          <w:szCs w:val="20"/>
        </w:rPr>
      </w:pPr>
      <w:r>
        <w:rPr>
          <w:sz w:val="20"/>
          <w:szCs w:val="20"/>
        </w:rPr>
        <w:t>Продавец обязуется подготовить и передать Покупателю все необходимые документы для заключения нотариального договора купли-продажи Объекта и государственной регистрации прав собственности Покупателя на данный Объект.</w:t>
      </w:r>
    </w:p>
    <w:p>
      <w:pPr>
        <w:pStyle w:val="para3"/>
        <w:ind w:left="567"/>
        <w:spacing/>
        <w:jc w:val="both"/>
        <w:tabs defTabSz="708">
          <w:tab w:val="left" w:pos="1134" w:leader="none"/>
        </w:tabs>
        <w:rPr>
          <w:sz w:val="20"/>
          <w:szCs w:val="20"/>
        </w:rPr>
      </w:pPr>
      <w:r>
        <w:rPr>
          <w:sz w:val="20"/>
          <w:szCs w:val="20"/>
        </w:rPr>
      </w:r>
    </w:p>
    <w:p>
      <w:pPr>
        <w:pStyle w:val="para4"/>
        <w:numPr>
          <w:ilvl w:val="0"/>
          <w:numId w:val="12"/>
        </w:numPr>
        <w:ind w:left="0" w:firstLine="0"/>
        <w:spacing/>
        <w:jc w:val="center"/>
        <w:tabs defTabSz="708">
          <w:tab w:val="left" w:pos="284" w:leader="none"/>
        </w:tabs>
        <w:rPr>
          <w:b/>
          <w:bCs/>
          <w:color w:val="365f91"/>
          <w:sz w:val="20"/>
          <w:szCs w:val="20"/>
        </w:rPr>
      </w:pPr>
      <w:r>
        <w:rPr>
          <w:b/>
          <w:bCs/>
          <w:color w:val="365f91"/>
          <w:sz w:val="20"/>
          <w:szCs w:val="20"/>
        </w:rPr>
        <w:t>ПОРЯДОК ПЕРЕДАЧИ ОБЪЕКТА</w:t>
      </w:r>
    </w:p>
    <w:p>
      <w:pPr>
        <w:pStyle w:val="para4"/>
        <w:ind w:left="0" w:firstLine="567"/>
        <w:spacing/>
        <w:jc w:val="both"/>
        <w:rPr>
          <w:sz w:val="20"/>
          <w:szCs w:val="20"/>
        </w:rPr>
      </w:pPr>
      <w:r/>
      <w:bookmarkStart w:id="9" w:name="_Hlk68885492"/>
      <w:bookmarkEnd w:id="9"/>
      <w:r/>
      <w:r>
        <w:rPr>
          <w:sz w:val="20"/>
          <w:szCs w:val="20"/>
        </w:rPr>
        <w:t xml:space="preserve">4.1. </w:t>
      </w:r>
      <w:r/>
      <w:bookmarkStart w:id="10" w:name="_Hlk68885525"/>
      <w:bookmarkEnd w:id="10"/>
      <w:r/>
      <w:r>
        <w:rPr>
          <w:sz w:val="20"/>
          <w:szCs w:val="20"/>
        </w:rPr>
        <w:t>Продавец</w:t>
      </w:r>
      <w:r>
        <w:rPr>
          <w:sz w:val="20"/>
          <w:szCs w:val="20"/>
        </w:rPr>
        <w:t xml:space="preserve"> вправе после завершения в полном объеме работ на Объекте до ввода Комплекса в эксплуатацию направить </w:t>
      </w:r>
      <w:r>
        <w:rPr>
          <w:sz w:val="20"/>
          <w:szCs w:val="20"/>
        </w:rPr>
        <w:t>Покупателю</w:t>
      </w:r>
      <w:r>
        <w:rPr>
          <w:sz w:val="20"/>
          <w:szCs w:val="20"/>
        </w:rPr>
        <w:t xml:space="preserve"> уведомление(-ия) о готовности Объекта к проведению дополнительных </w:t>
      </w:r>
      <w:r>
        <w:rPr>
          <w:sz w:val="20"/>
          <w:szCs w:val="20"/>
        </w:rPr>
        <w:t xml:space="preserve">отделочных </w:t>
      </w:r>
      <w:r>
        <w:rPr>
          <w:sz w:val="20"/>
          <w:szCs w:val="20"/>
        </w:rPr>
        <w:t xml:space="preserve">работ. </w:t>
      </w:r>
      <w:r>
        <w:rPr>
          <w:sz w:val="20"/>
          <w:szCs w:val="20"/>
        </w:rPr>
      </w:r>
    </w:p>
    <w:p>
      <w:pPr>
        <w:pStyle w:val="para4"/>
        <w:ind w:left="0" w:firstLine="567"/>
        <w:spacing/>
        <w:jc w:val="both"/>
        <w:rPr>
          <w:sz w:val="20"/>
          <w:szCs w:val="20"/>
        </w:rPr>
      </w:pPr>
      <w:r>
        <w:rPr>
          <w:sz w:val="20"/>
          <w:szCs w:val="20"/>
        </w:rPr>
        <w:t xml:space="preserve">4.2. Покупатель в течение 5 (пяти) календарных дней с момента доставки вышеуказанного уведомления(-ий) принимает Объект, путем подписания Акта приема-передачи Объекта в Комплексе, соглашения о возмещении затрат по оплате за коммунальные и эксплуатационные услуги, и обязуется завершить дополнительные отделочные работы в течение 3 (трех) месяцев с даты подписания документов, указанных в настоящем пункте. </w:t>
      </w:r>
    </w:p>
    <w:p>
      <w:pPr>
        <w:pStyle w:val="para4"/>
        <w:ind w:left="0" w:firstLine="567"/>
        <w:spacing/>
        <w:jc w:val="both"/>
        <w:tabs defTabSz="708">
          <w:tab w:val="left" w:pos="426" w:leader="none"/>
        </w:tabs>
        <w:rPr>
          <w:sz w:val="20"/>
          <w:szCs w:val="20"/>
        </w:rPr>
      </w:pPr>
      <w:r>
        <w:rPr>
          <w:sz w:val="20"/>
          <w:szCs w:val="20"/>
        </w:rPr>
        <w:t xml:space="preserve">4.3. Покупатель обязуется возмещать Продавцу расходы на коммунальные (тепло/водо/энергоресурсы, канализация, вывоз мусора и возмещение услуг по содержанию Комплекса), жилищно-эксплуатационные услуги, общие домовые нужды (далее- Коммунальные расходы), начиная с даты принятия Объекта или даты заключения договора купли-продажи (в зависимости от того, какое событие наступит ранее) и до заключения Покупателем договоров с поставщиками соответствующих услуг. При этом, Продавец вправе осуществлять удержание Объекта до момента погашения Покупателем своей задолженности, согласно условиям настоящего Договора. Оплата производится в течение 3 (трех) дней с момента выставления требований от Продавца. </w:t>
      </w:r>
    </w:p>
    <w:p>
      <w:pPr>
        <w:pStyle w:val="para4"/>
        <w:ind w:left="0" w:firstLine="567"/>
        <w:spacing/>
        <w:jc w:val="both"/>
        <w:rPr>
          <w:sz w:val="20"/>
          <w:szCs w:val="20"/>
        </w:rPr>
      </w:pPr>
      <w:r>
        <w:rPr>
          <w:sz w:val="20"/>
          <w:szCs w:val="20"/>
        </w:rPr>
        <w:t>4.4. Риск случайной гибели или случайного повреждения Объекта с момента его получения по Акту приема-передачи несет Покупатель.</w:t>
      </w:r>
    </w:p>
    <w:p>
      <w:pPr>
        <w:pStyle w:val="para4"/>
        <w:ind w:left="0" w:firstLine="567"/>
        <w:spacing/>
        <w:jc w:val="both"/>
        <w:rPr>
          <w:sz w:val="20"/>
          <w:szCs w:val="20"/>
        </w:rPr>
      </w:pPr>
      <w:r>
        <w:rPr>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УСЛОВИЯ ОФОРМЛЕНИЯ ПРАВА СОБСТВЕННОСТИ НА ОБЪЕКТ</w:t>
      </w:r>
    </w:p>
    <w:p>
      <w:pPr>
        <w:pStyle w:val="para3"/>
        <w:numPr>
          <w:ilvl w:val="1"/>
          <w:numId w:val="12"/>
        </w:numPr>
        <w:ind w:left="0" w:firstLine="567"/>
        <w:spacing/>
        <w:jc w:val="both"/>
        <w:tabs defTabSz="708">
          <w:tab w:val="left" w:pos="993" w:leader="none"/>
        </w:tabs>
        <w:rPr>
          <w:sz w:val="20"/>
          <w:szCs w:val="20"/>
        </w:rPr>
      </w:pPr>
      <w:r>
        <w:rPr>
          <w:sz w:val="20"/>
          <w:szCs w:val="20"/>
        </w:rPr>
        <w:t xml:space="preserve">Объект передаётся Покупателю в надлежащем техническом состоянии. </w:t>
      </w:r>
    </w:p>
    <w:p>
      <w:pPr>
        <w:pStyle w:val="para3"/>
        <w:numPr>
          <w:ilvl w:val="1"/>
          <w:numId w:val="12"/>
        </w:numPr>
        <w:ind w:left="0" w:firstLine="567"/>
        <w:spacing/>
        <w:jc w:val="both"/>
        <w:tabs defTabSz="708">
          <w:tab w:val="left" w:pos="993" w:leader="none"/>
        </w:tabs>
        <w:rPr>
          <w:sz w:val="20"/>
          <w:szCs w:val="20"/>
        </w:rPr>
      </w:pPr>
      <w:r>
        <w:rPr>
          <w:sz w:val="20"/>
          <w:szCs w:val="20"/>
        </w:rPr>
        <w:t xml:space="preserve">Передача Продавцом права собственности на Объект Покупателю производится после внесения всей суммы предварительной оплаты, с учетом доплат/возвратов согласно пунктам 1.4., 2.3. настоящего договора, погашения иных задолженностей Покупателя перед Продавцом, путем заключения договора купли-продажи Объекта в нотариальной форме. Все расходы, связанные с нотариальным оформлением договора купли-продажи Объекта и его государственной регистрацией осуществляется за счет Покупателя. </w:t>
      </w:r>
    </w:p>
    <w:p>
      <w:pPr>
        <w:pStyle w:val="para3"/>
        <w:numPr>
          <w:ilvl w:val="1"/>
          <w:numId w:val="12"/>
        </w:numPr>
        <w:ind w:left="0" w:firstLine="567"/>
        <w:spacing/>
        <w:jc w:val="both"/>
        <w:tabs defTabSz="708">
          <w:tab w:val="left" w:pos="993" w:leader="none"/>
        </w:tabs>
        <w:rPr>
          <w:sz w:val="20"/>
          <w:szCs w:val="20"/>
        </w:rPr>
      </w:pPr>
      <w:r>
        <w:rPr>
          <w:sz w:val="20"/>
          <w:szCs w:val="20"/>
        </w:rPr>
        <w:t>Стоимость Объекта в договоре купли-продажи, заключаемом в нотариальной форме между Продавцом и Покупателем, будет соответствовать размеру предварительной оплаты, который определен пункте 1.3. договора, и будет считаться оплаченной при условии выполнения Покупателем всех своих обязательств.</w:t>
      </w:r>
    </w:p>
    <w:p>
      <w:pPr>
        <w:pStyle w:val="para3"/>
        <w:numPr>
          <w:ilvl w:val="1"/>
          <w:numId w:val="12"/>
        </w:numPr>
        <w:ind w:left="0" w:firstLine="567"/>
        <w:spacing/>
        <w:jc w:val="both"/>
        <w:tabs defTabSz="708">
          <w:tab w:val="left" w:pos="993" w:leader="none"/>
        </w:tabs>
        <w:rPr>
          <w:sz w:val="20"/>
          <w:szCs w:val="20"/>
        </w:rPr>
      </w:pPr>
      <w:r>
        <w:rPr>
          <w:sz w:val="20"/>
          <w:szCs w:val="20"/>
        </w:rPr>
        <w:t>Прием-передача Объекта в собственность Покупателя осуществляется в день заключения нотариально удостоверяемого договора с подписанием Акта-приема передачи и оформлением счета-фактуры. С этого момента Объект снимается с баланса Продавца и на Покупателя, как собственника Объекта, переходит обязанность по содержанию Объекта, самостоятельной уплате коммунальных платежей, общих расходов по содержанию общего имущества в Комплексе и прилегающего к нему земельного участка с элементами благоустройства, налогов, сборов и других обязательных платежей, связанных с содержанием, правом собственности и пользованием Объектом. Объект может быть передан Покупателю по Акту приема-передачи до заключения договора купли-продажи.</w:t>
      </w:r>
    </w:p>
    <w:p>
      <w:pPr>
        <w:pStyle w:val="para3"/>
        <w:ind w:firstLine="567"/>
        <w:spacing/>
        <w:jc w:val="both"/>
        <w:tabs defTabSz="708">
          <w:tab w:val="left" w:pos="567" w:leader="none"/>
        </w:tabs>
        <w:rPr>
          <w:sz w:val="20"/>
          <w:szCs w:val="20"/>
        </w:rPr>
      </w:pPr>
      <w:r>
        <w:rPr>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ГАРАНТИИ КАЧЕСТВА</w:t>
      </w:r>
    </w:p>
    <w:p>
      <w:pPr>
        <w:ind w:firstLine="567"/>
        <w:tabs defTabSz="708">
          <w:tab w:val="left" w:pos="993" w:leader="none"/>
        </w:tabs>
        <w:rPr>
          <w:rFonts w:ascii="Times New Roman" w:hAnsi="Times New Roman" w:cs="Times New Roman"/>
          <w:color w:val="000000"/>
          <w:sz w:val="20"/>
          <w:szCs w:val="20"/>
        </w:rPr>
      </w:pPr>
      <w:r>
        <w:rPr>
          <w:rFonts w:ascii="Times New Roman" w:hAnsi="Times New Roman" w:cs="Times New Roman"/>
          <w:sz w:val="20"/>
          <w:szCs w:val="20"/>
        </w:rPr>
        <w:t>6.1. Объект должен соответствовать требованиям технических и градостроительных регламентов, проектной документации, а также иным обязательным требованиям, установленным действующим законодательством Республики Узбекистан.</w:t>
      </w:r>
      <w:r/>
      <w:bookmarkStart w:id="11" w:name="_Hlk67679536"/>
      <w:bookmarkEnd w:id="11"/>
      <w:r/>
      <w:r>
        <w:rPr>
          <w:rFonts w:ascii="Times New Roman" w:hAnsi="Times New Roman" w:cs="Times New Roman"/>
          <w:sz w:val="20"/>
          <w:szCs w:val="20"/>
        </w:rPr>
        <w:t xml:space="preserve"> </w:t>
      </w:r>
      <w:r>
        <w:rPr>
          <w:rFonts w:ascii="Times New Roman" w:hAnsi="Times New Roman" w:cs="Times New Roman"/>
          <w:color w:val="000000"/>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6.2. Покупатель вправе предъявить Продавцу претензии в связи с ненадлежащим качеством Объекта при условии, что такие недостатки выявлены в течение гарантийного срока. Продавец гарантирует исправление недостатков Объекта.</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6.3. Продавец не несет ответственность за недостатки в Объекте, возникшие по вине Покупатель при нарушении им правил эксплуатации Объекта, входящих в его состав конструктивных элементов, инженерного оборудования, в том числе несоблюдение технических условий при проведении планировочных и отделочных работ Покупателем, включая несоблюдение обязательств, указанных в подпунктах 3.1.8.4., 3.1.8.6., 3.1.8.8. договора.</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6.4. </w:t>
      </w:r>
      <w:r/>
      <w:bookmarkStart w:id="12" w:name="_Hlk68886552"/>
      <w:bookmarkEnd w:id="12"/>
      <w:r/>
      <w:r>
        <w:rPr>
          <w:rFonts w:ascii="Times New Roman" w:hAnsi="Times New Roman" w:cs="Times New Roman"/>
          <w:sz w:val="20"/>
          <w:szCs w:val="20"/>
        </w:rPr>
        <w:t xml:space="preserve">Свидетельством надлежащего исполнения обязательств </w:t>
      </w:r>
      <w:r>
        <w:rPr>
          <w:rFonts w:ascii="Times New Roman" w:hAnsi="Times New Roman" w:cs="Times New Roman"/>
          <w:sz w:val="20"/>
          <w:szCs w:val="20"/>
        </w:rPr>
        <w:t>Продавца</w:t>
      </w:r>
      <w:r>
        <w:rPr>
          <w:rFonts w:ascii="Times New Roman" w:hAnsi="Times New Roman" w:cs="Times New Roman"/>
          <w:sz w:val="20"/>
          <w:szCs w:val="20"/>
        </w:rPr>
        <w:t xml:space="preserve"> по качеству построенного Объекта является Акт приемки в эксплуатацию Комплекса уполномоченными государственными органами</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 </w:t>
      </w:r>
    </w:p>
    <w:p>
      <w:pPr>
        <w:pStyle w:val="para1"/>
        <w:numPr>
          <w:ilvl w:val="0"/>
          <w:numId w:val="12"/>
        </w:numPr>
        <w:ind w:left="0" w:firstLine="567"/>
        <w:spacing/>
        <w:jc w:val="center"/>
        <w:tabs defTabSz="708">
          <w:tab w:val="left" w:pos="851" w:leader="none"/>
        </w:tabs>
        <w:rPr>
          <w:rFonts w:ascii="Times New Roman" w:hAnsi="Times New Roman"/>
          <w:color w:val="365f91"/>
          <w:sz w:val="20"/>
          <w:szCs w:val="20"/>
        </w:rPr>
      </w:pPr>
      <w:r>
        <w:rPr>
          <w:rFonts w:ascii="Times New Roman" w:hAnsi="Times New Roman"/>
          <w:color w:val="365f91"/>
          <w:sz w:val="20"/>
          <w:szCs w:val="20"/>
        </w:rPr>
        <w:t>ОТВЕТСТВЕННОСТЬ СТОРОН И ПОРЯДОК РАЗРЕШЕНИЯ СПОРОВ</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7.1. За неисполнение или ненадлежащее исполнение обязательств по настоящему договору в части сроков, порядка и условий внесения предварительной оплаты</w:t>
      </w:r>
      <w:r>
        <w:rPr>
          <w:sz w:val="20"/>
          <w:szCs w:val="20"/>
        </w:rPr>
        <w:t xml:space="preserve">, </w:t>
      </w:r>
      <w:r>
        <w:rPr>
          <w:rFonts w:ascii="Times New Roman" w:hAnsi="Times New Roman" w:cs="Times New Roman"/>
          <w:sz w:val="20"/>
          <w:szCs w:val="20"/>
        </w:rPr>
        <w:t xml:space="preserve">и/или согласно пунктам 1.4., 2.3. договора, </w:t>
      </w:r>
      <w:r>
        <w:rPr>
          <w:rFonts w:ascii="Times New Roman" w:hAnsi="Times New Roman" w:cs="Times New Roman"/>
          <w:sz w:val="20"/>
          <w:szCs w:val="20"/>
        </w:rPr>
        <w:t>Покупатель</w:t>
      </w:r>
      <w:r>
        <w:rPr>
          <w:rFonts w:ascii="Times New Roman" w:hAnsi="Times New Roman" w:cs="Times New Roman"/>
          <w:sz w:val="20"/>
          <w:szCs w:val="20"/>
        </w:rPr>
        <w:t xml:space="preserve"> выплачивает </w:t>
      </w:r>
      <w:r>
        <w:rPr>
          <w:rFonts w:ascii="Times New Roman" w:hAnsi="Times New Roman" w:cs="Times New Roman"/>
          <w:sz w:val="20"/>
          <w:szCs w:val="20"/>
        </w:rPr>
        <w:t>Продавцу</w:t>
      </w:r>
      <w:r>
        <w:rPr>
          <w:rFonts w:ascii="Times New Roman" w:hAnsi="Times New Roman" w:cs="Times New Roman"/>
          <w:sz w:val="20"/>
          <w:szCs w:val="20"/>
        </w:rPr>
        <w:t xml:space="preserve"> пеню в размере </w:t>
      </w:r>
      <w:r>
        <w:rPr>
          <w:rFonts w:ascii="Times New Roman" w:hAnsi="Times New Roman" w:cs="Times New Roman"/>
          <w:sz w:val="20"/>
          <w:szCs w:val="20"/>
        </w:rPr>
        <w:t>0,1%</w:t>
      </w:r>
      <w:r>
        <w:rPr>
          <w:rFonts w:ascii="Times New Roman" w:hAnsi="Times New Roman" w:cs="Times New Roman"/>
          <w:sz w:val="20"/>
          <w:szCs w:val="20"/>
        </w:rPr>
        <w:t xml:space="preserve"> от размера задолженности, за каждый день просрочки, в общем размере не более </w:t>
      </w:r>
      <w:r>
        <w:rPr>
          <w:rFonts w:ascii="Times New Roman" w:hAnsi="Times New Roman" w:cs="Times New Roman"/>
          <w:sz w:val="20"/>
          <w:szCs w:val="20"/>
        </w:rPr>
        <w:t>10% от</w:t>
      </w:r>
      <w:r>
        <w:rPr>
          <w:rFonts w:ascii="Times New Roman" w:hAnsi="Times New Roman" w:cs="Times New Roman"/>
          <w:sz w:val="20"/>
          <w:szCs w:val="20"/>
        </w:rPr>
        <w:t xml:space="preserve"> размера невыплаченной части </w:t>
      </w:r>
      <w:r>
        <w:rPr>
          <w:rFonts w:ascii="Times New Roman" w:hAnsi="Times New Roman" w:cs="Times New Roman"/>
          <w:sz w:val="20"/>
          <w:szCs w:val="20"/>
        </w:rPr>
        <w:t>предварительной оплаты</w:t>
      </w:r>
      <w:r>
        <w:rPr>
          <w:sz w:val="20"/>
          <w:szCs w:val="20"/>
        </w:rPr>
        <w:t>.</w:t>
      </w:r>
      <w:r>
        <w:rPr>
          <w:rFonts w:ascii="Times New Roman" w:hAnsi="Times New Roman" w:cs="Times New Roman"/>
          <w:sz w:val="20"/>
          <w:szCs w:val="20"/>
        </w:rPr>
        <w:t xml:space="preserve"> Взыскание суммы пени является правом, а не обязанностью </w:t>
      </w:r>
      <w:r>
        <w:rPr>
          <w:rFonts w:ascii="Times New Roman" w:hAnsi="Times New Roman" w:cs="Times New Roman"/>
          <w:sz w:val="20"/>
          <w:szCs w:val="20"/>
        </w:rPr>
        <w:t>Продавца</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7.2. Нарушение Покупателем сроков внесения полной суммы предварительной оплаты</w:t>
      </w:r>
      <w:r>
        <w:rPr>
          <w:sz w:val="20"/>
          <w:szCs w:val="20"/>
        </w:rPr>
        <w:t xml:space="preserve">, </w:t>
      </w:r>
      <w:r>
        <w:rPr>
          <w:rFonts w:ascii="Times New Roman" w:hAnsi="Times New Roman" w:cs="Times New Roman"/>
          <w:sz w:val="20"/>
          <w:szCs w:val="20"/>
        </w:rPr>
        <w:t xml:space="preserve">освобождает </w:t>
      </w:r>
      <w:r>
        <w:rPr>
          <w:rFonts w:ascii="Times New Roman" w:hAnsi="Times New Roman" w:cs="Times New Roman"/>
          <w:sz w:val="20"/>
          <w:szCs w:val="20"/>
        </w:rPr>
        <w:t>Продавца</w:t>
      </w:r>
      <w:r>
        <w:rPr>
          <w:rFonts w:ascii="Times New Roman" w:hAnsi="Times New Roman" w:cs="Times New Roman"/>
          <w:sz w:val="20"/>
          <w:szCs w:val="20"/>
        </w:rPr>
        <w:t xml:space="preserve"> от ответственности за просрочку выполнения обязательств по завершению строительства Объекта, нотариальному оформлению права собственности </w:t>
      </w:r>
      <w:r>
        <w:rPr>
          <w:rFonts w:ascii="Times New Roman" w:hAnsi="Times New Roman" w:cs="Times New Roman"/>
          <w:sz w:val="20"/>
          <w:szCs w:val="20"/>
        </w:rPr>
        <w:t>Покупателя</w:t>
      </w:r>
      <w:r>
        <w:rPr>
          <w:rFonts w:ascii="Times New Roman" w:hAnsi="Times New Roman" w:cs="Times New Roman"/>
          <w:sz w:val="20"/>
          <w:szCs w:val="20"/>
        </w:rPr>
        <w:t xml:space="preserve"> на Объект и является основанием для одностороннего расторжения </w:t>
      </w:r>
      <w:r>
        <w:rPr>
          <w:rFonts w:ascii="Times New Roman" w:hAnsi="Times New Roman" w:cs="Times New Roman"/>
          <w:sz w:val="20"/>
          <w:szCs w:val="20"/>
        </w:rPr>
        <w:t>Продавцом</w:t>
      </w:r>
      <w:r>
        <w:rPr>
          <w:rFonts w:ascii="Times New Roman" w:hAnsi="Times New Roman" w:cs="Times New Roman"/>
          <w:sz w:val="20"/>
          <w:szCs w:val="20"/>
        </w:rPr>
        <w:t xml:space="preserve"> настоящего договора.</w:t>
      </w: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7.3. В случае нарушения сроков по передаче права собственности на Объект в соответствии с пунктом 3.2.6. договора, Продавец выплачивает Покупателю пеню в размере 0,01 % от внесенной части предварительной оплаты</w:t>
      </w:r>
      <w:r>
        <w:rPr>
          <w:sz w:val="20"/>
          <w:szCs w:val="20"/>
        </w:rPr>
        <w:t xml:space="preserve">, </w:t>
      </w:r>
      <w:r>
        <w:rPr>
          <w:rFonts w:ascii="Times New Roman" w:hAnsi="Times New Roman" w:cs="Times New Roman"/>
          <w:sz w:val="20"/>
          <w:szCs w:val="20"/>
        </w:rPr>
        <w:t xml:space="preserve">за каждый день просрочки, но не более </w:t>
      </w:r>
      <w:r>
        <w:rPr>
          <w:rFonts w:ascii="Times New Roman" w:hAnsi="Times New Roman" w:cs="Times New Roman"/>
          <w:sz w:val="20"/>
          <w:szCs w:val="20"/>
        </w:rPr>
        <w:t>10%</w:t>
      </w:r>
      <w:r>
        <w:rPr>
          <w:rFonts w:ascii="Times New Roman" w:hAnsi="Times New Roman" w:cs="Times New Roman"/>
          <w:sz w:val="20"/>
          <w:szCs w:val="20"/>
        </w:rPr>
        <w:t xml:space="preserve"> от размера </w:t>
      </w:r>
      <w:r>
        <w:rPr>
          <w:rFonts w:ascii="Times New Roman" w:hAnsi="Times New Roman" w:cs="Times New Roman"/>
          <w:sz w:val="20"/>
          <w:szCs w:val="20"/>
        </w:rPr>
        <w:t>предварительной оплаты</w:t>
      </w:r>
      <w:r>
        <w:rPr>
          <w:rFonts w:ascii="Times New Roman" w:hAnsi="Times New Roman" w:cs="Times New Roman"/>
          <w:sz w:val="20"/>
          <w:szCs w:val="20"/>
        </w:rPr>
        <w:t xml:space="preserve">. Начисление, удержание, предъявление к оплате штрафа, пени является правом, а не обязанностью </w:t>
      </w:r>
      <w:r>
        <w:rPr>
          <w:rFonts w:ascii="Times New Roman" w:hAnsi="Times New Roman" w:cs="Times New Roman"/>
          <w:sz w:val="20"/>
          <w:szCs w:val="20"/>
        </w:rPr>
        <w:t>Покупателя</w:t>
      </w:r>
      <w:r>
        <w:rPr>
          <w:rFonts w:ascii="Times New Roman" w:hAnsi="Times New Roman" w:cs="Times New Roman"/>
          <w:sz w:val="20"/>
          <w:szCs w:val="20"/>
        </w:rPr>
        <w:t xml:space="preserve">. Размер штрафа, пени возлагаемых на </w:t>
      </w:r>
      <w:r>
        <w:rPr>
          <w:rFonts w:ascii="Times New Roman" w:hAnsi="Times New Roman" w:cs="Times New Roman"/>
          <w:sz w:val="20"/>
          <w:szCs w:val="20"/>
        </w:rPr>
        <w:t>Продавца</w:t>
      </w:r>
      <w:r>
        <w:rPr>
          <w:rFonts w:ascii="Times New Roman" w:hAnsi="Times New Roman" w:cs="Times New Roman"/>
          <w:sz w:val="20"/>
          <w:szCs w:val="20"/>
        </w:rPr>
        <w:t xml:space="preserve"> </w:t>
      </w:r>
      <w:r>
        <w:rPr>
          <w:rFonts w:ascii="Times New Roman" w:hAnsi="Times New Roman" w:cs="Times New Roman"/>
          <w:sz w:val="20"/>
          <w:szCs w:val="20"/>
        </w:rPr>
        <w:t>Покупателем</w:t>
      </w:r>
      <w:r>
        <w:rPr>
          <w:rFonts w:ascii="Times New Roman" w:hAnsi="Times New Roman" w:cs="Times New Roman"/>
          <w:sz w:val="20"/>
          <w:szCs w:val="20"/>
        </w:rPr>
        <w:t xml:space="preserve"> за неисполнение или ненадлежащее исполнение договорных обязательств, может быть уменьшен </w:t>
      </w:r>
      <w:r>
        <w:rPr>
          <w:rFonts w:ascii="Times New Roman" w:hAnsi="Times New Roman" w:cs="Times New Roman"/>
          <w:sz w:val="20"/>
          <w:szCs w:val="20"/>
        </w:rPr>
        <w:t>Покупателем</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7.4. При уклонении Покупателя от заключения договора купли-продажи и/либо подписания Акта приема-передачи Объекта, Продавец вправе требовать от Покупателя выплаты пени в размере 0,5 % от размера предварительной оплаты за каждый день просрочки, в общем размере не более 10% от общей стоимости предварительной оплаты.</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7.5. В случае нарушения Покупателем обязательств, указанных в пунктах 3.1.8.6, 3.1.8.7, 3.1.8.8, 3.1.8.12 настоящего договора, Покупатель обязуется выплатить штраф в размере 100 базовых расчетных величин, установленных законодательством Республики Узбекистан на момент уплаты штрафа. Уплата штрафа не освобождает Покупателя от обязанности устранить допущенное нарушение. В случае не устранения допущенного нарушения со стороны Покупателя в течение 2-х месяцев с момента уплаты штрафа, Продавец вправе повторно требовать уплаты штрафа согласно настоящему пункту договора.  </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7.6. Ответственность Сторон за неисполнение или ненадлежащее исполнение своих обязательств, не предусмотренная по настоящему договору, определяется гражданским кодексом и другими нормативно-правовыми актами Республики Узбекистан.</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7.7. </w:t>
      </w:r>
      <w:r/>
      <w:bookmarkStart w:id="13" w:name="_Hlk68887212"/>
      <w:bookmarkEnd w:id="13"/>
      <w:r/>
      <w:r>
        <w:rPr>
          <w:rFonts w:ascii="Times New Roman" w:hAnsi="Times New Roman" w:cs="Times New Roman"/>
          <w:sz w:val="20"/>
          <w:szCs w:val="20"/>
        </w:rPr>
        <w:t xml:space="preserve">Споры, возникающие из данного договора или в связи с ним, разрешаются Сторонами путем переговоров, в течение </w:t>
      </w:r>
      <w:r>
        <w:rPr>
          <w:rFonts w:ascii="Times New Roman" w:hAnsi="Times New Roman" w:cs="Times New Roman"/>
          <w:sz w:val="20"/>
          <w:szCs w:val="20"/>
        </w:rPr>
        <w:t>10 (десяти)</w:t>
      </w:r>
      <w:r>
        <w:rPr>
          <w:rFonts w:ascii="Times New Roman" w:hAnsi="Times New Roman" w:cs="Times New Roman"/>
          <w:sz w:val="20"/>
          <w:szCs w:val="20"/>
        </w:rPr>
        <w:t xml:space="preserve"> дней с даты соответствующего заявления одной из Сторон. При невозможности достижения согласия</w:t>
      </w:r>
      <w:r>
        <w:rPr>
          <w:rFonts w:ascii="Times New Roman" w:hAnsi="Times New Roman" w:cs="Times New Roman"/>
          <w:sz w:val="20"/>
          <w:szCs w:val="20"/>
          <w:lang w:val="uz-Cyrl-uz"/>
        </w:rPr>
        <w:t xml:space="preserve"> путем переговоров</w:t>
      </w:r>
      <w:r>
        <w:rPr>
          <w:rFonts w:ascii="Times New Roman" w:hAnsi="Times New Roman" w:cs="Times New Roman"/>
          <w:sz w:val="20"/>
          <w:szCs w:val="20"/>
        </w:rPr>
        <w:t xml:space="preserve">, споры подлежат разрешению в порядке, предусмотренном действующим законодательством Республики Узбекистан, в Мирабадском межрайонном суде по гражданским делам города Ташкента, если </w:t>
      </w:r>
      <w:r>
        <w:rPr>
          <w:rFonts w:ascii="Times New Roman" w:hAnsi="Times New Roman" w:cs="Times New Roman"/>
          <w:sz w:val="20"/>
          <w:szCs w:val="20"/>
        </w:rPr>
        <w:t>Покупатель</w:t>
      </w:r>
      <w:r>
        <w:rPr>
          <w:rFonts w:ascii="Times New Roman" w:hAnsi="Times New Roman" w:cs="Times New Roman"/>
          <w:sz w:val="20"/>
          <w:szCs w:val="20"/>
        </w:rPr>
        <w:t xml:space="preserve"> - физическое лицо, или в Ташкентском межрайонном экономическом суде, если </w:t>
      </w:r>
      <w:r>
        <w:rPr>
          <w:rFonts w:ascii="Times New Roman" w:hAnsi="Times New Roman" w:cs="Times New Roman"/>
          <w:sz w:val="20"/>
          <w:szCs w:val="20"/>
        </w:rPr>
        <w:t>Покупатель</w:t>
      </w:r>
      <w:r>
        <w:rPr>
          <w:rFonts w:ascii="Times New Roman" w:hAnsi="Times New Roman" w:cs="Times New Roman"/>
          <w:sz w:val="20"/>
          <w:szCs w:val="20"/>
        </w:rPr>
        <w:t xml:space="preserve"> - юридическое лицо</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ФОРС-МАЖОР</w:t>
      </w:r>
    </w:p>
    <w:p>
      <w:pPr>
        <w:ind w:firstLine="567"/>
        <w:tabs defTabSz="708">
          <w:tab w:val="left" w:pos="1027" w:leader="none"/>
        </w:tabs>
        <w:rPr>
          <w:rFonts w:ascii="Times New Roman" w:hAnsi="Times New Roman" w:cs="Times New Roman"/>
          <w:sz w:val="20"/>
          <w:szCs w:val="20"/>
        </w:rPr>
      </w:pPr>
      <w:r>
        <w:rPr>
          <w:rFonts w:ascii="Times New Roman" w:hAnsi="Times New Roman" w:cs="Times New Roman"/>
          <w:sz w:val="20"/>
          <w:szCs w:val="20"/>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неопределенной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(форс-мажор).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война или военные действия.</w:t>
      </w:r>
    </w:p>
    <w:p>
      <w:pPr>
        <w:ind w:firstLine="567"/>
        <w:tabs defTabSz="708">
          <w:tab w:val="left" w:pos="1027" w:leader="none"/>
        </w:tabs>
        <w:rPr>
          <w:rFonts w:ascii="Times New Roman" w:hAnsi="Times New Roman" w:cs="Times New Roman"/>
          <w:sz w:val="20"/>
          <w:szCs w:val="20"/>
        </w:rPr>
      </w:pPr>
      <w:r>
        <w:rPr>
          <w:rFonts w:ascii="Times New Roman" w:hAnsi="Times New Roman" w:cs="Times New Roman"/>
          <w:sz w:val="20"/>
          <w:szCs w:val="20"/>
        </w:rPr>
        <w:t>8.2. Сторона, которая не может выполнить свои обязательства по настоящему договору, должна сообщить другой стороне за 30 (тридцать) календарных дней о начале и прекращении этих обстоятельств. Если эти обстоятельства будут продолжаться в течении 3 (трех) месяцев, каждая сторона имеет право отказаться от дальнейшего выполнения своих обязательств по договору. О наличии таких обстоятельств и их продолжительности будут служить свидетельства уполномоченных органов.</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284" w:leader="none"/>
        </w:tabs>
        <w:rPr>
          <w:rFonts w:ascii="Times New Roman" w:hAnsi="Times New Roman" w:cs="Times New Roman"/>
          <w:b/>
          <w:bCs/>
          <w:color w:val="365f91"/>
          <w:sz w:val="20"/>
          <w:szCs w:val="20"/>
        </w:rPr>
      </w:pPr>
      <w:r>
        <w:rPr>
          <w:rFonts w:ascii="Times New Roman" w:hAnsi="Times New Roman" w:cs="Times New Roman"/>
          <w:b/>
          <w:bCs/>
          <w:color w:val="365f91"/>
          <w:sz w:val="20"/>
          <w:szCs w:val="20"/>
        </w:rPr>
        <w:t xml:space="preserve">9. </w:t>
      </w:r>
      <w:r/>
      <w:bookmarkStart w:id="14" w:name="_Hlk69146293"/>
      <w:bookmarkEnd w:id="14"/>
      <w:r/>
      <w:r>
        <w:rPr>
          <w:rFonts w:ascii="Times New Roman" w:hAnsi="Times New Roman" w:cs="Times New Roman"/>
          <w:b/>
          <w:bCs/>
          <w:color w:val="365f91"/>
          <w:sz w:val="20"/>
          <w:szCs w:val="20"/>
        </w:rPr>
        <w:t>ПОРЯДОК ИЗМЕНЕНИЯ И РАСТОРЖЕНИЯ ДОГОВОРА</w:t>
      </w:r>
      <w:r>
        <w:rPr>
          <w:rFonts w:ascii="Times New Roman" w:hAnsi="Times New Roman" w:cs="Times New Roman"/>
          <w:b/>
          <w:bCs/>
          <w:color w:val="365f91"/>
          <w:sz w:val="20"/>
          <w:szCs w:val="20"/>
        </w:rPr>
      </w:r>
    </w:p>
    <w:p>
      <w:pPr>
        <w:ind w:firstLine="567"/>
        <w:tabs defTabSz="708">
          <w:tab w:val="left" w:pos="0" w:leader="none"/>
          <w:tab w:val="left" w:pos="993" w:leader="none"/>
        </w:tabs>
        <w:rPr>
          <w:rFonts w:ascii="Times New Roman" w:hAnsi="Times New Roman" w:cs="Times New Roman"/>
          <w:sz w:val="20"/>
          <w:szCs w:val="20"/>
        </w:rPr>
      </w:pPr>
      <w:r/>
      <w:bookmarkStart w:id="15" w:name="_Hlk69146240"/>
      <w:bookmarkEnd w:id="15"/>
      <w:r/>
      <w:r>
        <w:rPr>
          <w:rFonts w:ascii="Times New Roman" w:hAnsi="Times New Roman" w:cs="Times New Roman"/>
          <w:sz w:val="20"/>
          <w:szCs w:val="20"/>
        </w:rPr>
        <w:t xml:space="preserve">9.1. Настоящий договор может быть изменен, расторгнут или признан недействительным по основаниям, предусмотренным договором и действующим законодательством либо по соглашению сторон. </w:t>
      </w:r>
      <w:r>
        <w:rPr>
          <w:rFonts w:ascii="Times New Roman" w:hAnsi="Times New Roman" w:cs="Times New Roman"/>
          <w:sz w:val="20"/>
          <w:szCs w:val="20"/>
        </w:rPr>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9.2. Все изменения и дополнения к договору оформляются в письменной форме путем подписания дополнительного соглашения, являющегося неотъемлемой частью настоящего договора</w:t>
      </w:r>
      <w:r>
        <w:rPr>
          <w:rFonts w:ascii="Times New Roman" w:hAnsi="Times New Roman" w:cs="Times New Roman"/>
          <w:sz w:val="20"/>
          <w:szCs w:val="20"/>
          <w:lang w:val="uz-Cyrl-uz"/>
        </w:rPr>
        <w:t xml:space="preserve">, </w:t>
      </w:r>
      <w:r>
        <w:rPr>
          <w:rFonts w:ascii="Times New Roman" w:hAnsi="Times New Roman" w:cs="Times New Roman"/>
          <w:sz w:val="20"/>
          <w:szCs w:val="20"/>
        </w:rPr>
        <w:t>оформленных надлежащим образом, подписанных уполномоченными представителями сторон, удостоверенных печатями, кроме случаев, оговоренных договором.</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9.3. Продавец имеет право досрочно расторгнуть настоящий договор в одностороннем внесудебном порядке путем направления уведомления о расторжении договора и без подписания сторонами соглашения о расторжении (дата получения уведомления является датой одностороннего расторжения договора) и продать Объект (либо иным способом произвести его отчуждение) третьему лицу без согласия Покупателя, в случаях: </w:t>
      </w:r>
    </w:p>
    <w:p>
      <w:pPr>
        <w:pStyle w:val="para4"/>
        <w:numPr>
          <w:ilvl w:val="0"/>
          <w:numId w:val="15"/>
        </w:numPr>
        <w:ind w:left="0" w:firstLine="567"/>
        <w:spacing/>
        <w:jc w:val="both"/>
        <w:tabs defTabSz="708">
          <w:tab w:val="left" w:pos="0" w:leader="none"/>
          <w:tab w:val="left" w:pos="851" w:leader="none"/>
        </w:tabs>
        <w:rPr>
          <w:sz w:val="20"/>
          <w:szCs w:val="20"/>
        </w:rPr>
      </w:pPr>
      <w:r>
        <w:rPr>
          <w:sz w:val="20"/>
          <w:szCs w:val="20"/>
        </w:rPr>
        <w:t xml:space="preserve">просрочки в оплате суммы предварительной оплаты на 30 (тридцать) календарных дней согласно пунктам 2.2., 2.3. настоящего договора; </w:t>
      </w:r>
    </w:p>
    <w:p>
      <w:pPr>
        <w:pStyle w:val="para4"/>
        <w:numPr>
          <w:ilvl w:val="0"/>
          <w:numId w:val="15"/>
        </w:numPr>
        <w:ind w:left="0" w:firstLine="567"/>
        <w:spacing/>
        <w:jc w:val="both"/>
        <w:tabs defTabSz="708">
          <w:tab w:val="left" w:pos="0" w:leader="none"/>
          <w:tab w:val="left" w:pos="851" w:leader="none"/>
        </w:tabs>
        <w:rPr>
          <w:sz w:val="20"/>
          <w:szCs w:val="20"/>
        </w:rPr>
      </w:pPr>
      <w:r>
        <w:rPr>
          <w:sz w:val="20"/>
          <w:szCs w:val="20"/>
        </w:rPr>
        <w:t xml:space="preserve">при уклонении Покупателя от заключения договора купли-продажи и/либо подписания Акта приема-передачи Объекта на 30 (тридцать) календарных дней, а равно не прибытие Покупателя для подписания договора купли-продажи и/либо подписания Акта приема-передачи Объекта в указанный срок.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9.4. Расторжение договора в одностороннем порядке по инициативе Покупателя возможно в случае просрочки Продавцом на 3 (три) и более календарных месяца в заключении договора купли-продажи Объекта.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9.5. При расторжении договора по инициативе Продавца в соответствии с пунктом 9.2. договора, Продавец возвращает Покупателю фактически полученную сумму предварительной оплаты</w:t>
      </w:r>
      <w:r>
        <w:rPr>
          <w:sz w:val="20"/>
          <w:szCs w:val="20"/>
        </w:rPr>
        <w:t>,</w:t>
      </w:r>
      <w:r>
        <w:rPr>
          <w:rFonts w:ascii="Times New Roman" w:hAnsi="Times New Roman" w:cs="Times New Roman"/>
          <w:sz w:val="20"/>
          <w:szCs w:val="20"/>
        </w:rPr>
        <w:t xml:space="preserve"> за вычетом пени, установленной разделом 7 настоящего договора. Возврат Объекта </w:t>
      </w:r>
      <w:r>
        <w:rPr>
          <w:rFonts w:ascii="Times New Roman" w:hAnsi="Times New Roman" w:cs="Times New Roman"/>
          <w:sz w:val="20"/>
          <w:szCs w:val="20"/>
        </w:rPr>
        <w:t>Покупателем Продавцу</w:t>
      </w:r>
      <w:r>
        <w:rPr>
          <w:rFonts w:ascii="Times New Roman" w:hAnsi="Times New Roman" w:cs="Times New Roman"/>
          <w:sz w:val="20"/>
          <w:szCs w:val="20"/>
        </w:rPr>
        <w:t xml:space="preserve"> (в случае, если к моменту расторжения договора </w:t>
      </w:r>
      <w:r>
        <w:rPr>
          <w:rFonts w:ascii="Times New Roman" w:hAnsi="Times New Roman" w:cs="Times New Roman"/>
          <w:sz w:val="20"/>
          <w:szCs w:val="20"/>
        </w:rPr>
        <w:t>Покупатель</w:t>
      </w:r>
      <w:r>
        <w:rPr>
          <w:rFonts w:ascii="Times New Roman" w:hAnsi="Times New Roman" w:cs="Times New Roman"/>
          <w:sz w:val="20"/>
          <w:szCs w:val="20"/>
        </w:rPr>
        <w:t xml:space="preserve"> принял Объект) осуществляется в течение 10 (десяти) календарных дней с момента расторжения договора. Возврат денежных средств </w:t>
      </w:r>
      <w:r>
        <w:rPr>
          <w:rFonts w:ascii="Times New Roman" w:hAnsi="Times New Roman" w:cs="Times New Roman"/>
          <w:sz w:val="20"/>
          <w:szCs w:val="20"/>
        </w:rPr>
        <w:t>Покупателю</w:t>
      </w:r>
      <w:r>
        <w:rPr>
          <w:rFonts w:ascii="Times New Roman" w:hAnsi="Times New Roman" w:cs="Times New Roman"/>
          <w:sz w:val="20"/>
          <w:szCs w:val="20"/>
        </w:rPr>
        <w:t xml:space="preserve"> осуществляется после отчуждения Объекта третьему лицу и оплаты последним полной стоимости Объекта, но не ранее 6 (шести) месяцев с момента расторжения договора. </w:t>
      </w:r>
      <w:r>
        <w:rPr>
          <w:rFonts w:ascii="Times New Roman" w:hAnsi="Times New Roman" w:cs="Times New Roman"/>
          <w:sz w:val="20"/>
          <w:szCs w:val="20"/>
        </w:rPr>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9.6. При расторжении договора по инициативе Покупателя в соответствии с пунктом 9.3. договора, Продавец в течение 30 (тридцати) банковских дней с момента расторжения договора возвращает Покупателю фактически полученную Продавцом сумму. При этом какие-либо штрафные санкции сторонами не применяются. Возврат Объекта, со всеми неотделимыми улучшениями, Покупателем Продавцу осуществляется в течение 10 (десяти) календарных дней с момента расторжения договора.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284" w:leader="none"/>
        </w:tabs>
        <w:rPr>
          <w:rFonts w:ascii="Times New Roman" w:hAnsi="Times New Roman" w:cs="Times New Roman"/>
          <w:b/>
          <w:bCs/>
          <w:color w:val="365f91"/>
          <w:sz w:val="20"/>
          <w:szCs w:val="20"/>
        </w:rPr>
      </w:pPr>
      <w:r>
        <w:rPr>
          <w:rFonts w:ascii="Times New Roman" w:hAnsi="Times New Roman" w:cs="Times New Roman"/>
          <w:b/>
          <w:bCs/>
          <w:color w:val="365f91"/>
          <w:sz w:val="20"/>
          <w:szCs w:val="20"/>
        </w:rPr>
        <w:t>10. ЗАКЛЮЧИТЕЛЬНЫЕ ПОЛОЖЕНИЯ</w:t>
      </w:r>
    </w:p>
    <w:p>
      <w:pPr>
        <w:ind w:firstLine="567"/>
        <w:tabs defTabSz="708">
          <w:tab w:val="left" w:pos="1134" w:leader="none"/>
        </w:tabs>
        <w:rPr>
          <w:rFonts w:ascii="Times New Roman" w:hAnsi="Times New Roman" w:cs="Times New Roman"/>
          <w:sz w:val="20"/>
          <w:szCs w:val="20"/>
        </w:rPr>
      </w:pPr>
      <w:r/>
      <w:bookmarkStart w:id="16" w:name="_Hlk68887882"/>
      <w:bookmarkEnd w:id="16"/>
      <w:r/>
      <w:r>
        <w:rPr>
          <w:rFonts w:ascii="Times New Roman" w:hAnsi="Times New Roman" w:cs="Times New Roman"/>
          <w:sz w:val="20"/>
          <w:szCs w:val="20"/>
        </w:rPr>
        <w:t xml:space="preserve">10.1. </w:t>
      </w:r>
      <w:r>
        <w:rPr>
          <w:rFonts w:ascii="Times New Roman" w:hAnsi="Times New Roman" w:cs="Times New Roman"/>
          <w:sz w:val="20"/>
          <w:szCs w:val="20"/>
        </w:rPr>
        <w:t>Продавец</w:t>
      </w:r>
      <w:r>
        <w:rPr>
          <w:rFonts w:ascii="Times New Roman" w:hAnsi="Times New Roman" w:cs="Times New Roman"/>
          <w:sz w:val="20"/>
          <w:szCs w:val="20"/>
        </w:rPr>
        <w:t xml:space="preserve"> гарантирует, что на момент заключения настоящего договора Объект не является предметом каких-либо иных договоров, свободен от любых обязательств, не находится в залоге или под арестом, не сдан в аренду третьим лицам, не является объектом споров и чьих-либо притязаний, не передан в доверительное управление и не имеет каких-либо других обременений.</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10.2. Вся информация, содержащаяся в договоре и связанная с его исполнением, является конфиденциальной и не подлежит разглашению сторонами за исключением случаев, в которых обязательное предоставление данной информации предусмотрено законодательством Республики Узбекистан. В случае нарушения данного условия любой из сторон, виновная сторона возмещает потерпевшей стороне причиненные убытки, в том числе упущенную выгоду.</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10.3. </w:t>
      </w:r>
      <w:r/>
      <w:bookmarkStart w:id="17" w:name="_Hlk68887816"/>
      <w:bookmarkEnd w:id="17"/>
      <w:r/>
      <w:r>
        <w:rPr>
          <w:rFonts w:ascii="Times New Roman" w:hAnsi="Times New Roman" w:cs="Times New Roman"/>
          <w:sz w:val="20"/>
          <w:szCs w:val="20"/>
        </w:rPr>
        <w:t xml:space="preserve">Обо всех изменениях в платежных, почтовых и других реквизитах стороны обязаны в течение 10 (десяти) календарных дней извещать друг друга. При отсутствии извещения об изменении почтовых и других реквизитов любая корреспонденция направляется по последнему известному </w:t>
      </w:r>
      <w:r>
        <w:rPr>
          <w:rFonts w:ascii="Times New Roman" w:hAnsi="Times New Roman" w:cs="Times New Roman"/>
          <w:sz w:val="20"/>
          <w:szCs w:val="20"/>
        </w:rPr>
        <w:t>Продавцу</w:t>
      </w:r>
      <w:r>
        <w:rPr>
          <w:rFonts w:ascii="Times New Roman" w:hAnsi="Times New Roman" w:cs="Times New Roman"/>
          <w:sz w:val="20"/>
          <w:szCs w:val="20"/>
        </w:rPr>
        <w:t xml:space="preserve"> адресу и считается доставленной надлежащим образом, хотя бы адресат по данному адресу и не находился; причем корреспонденция считается надлежащим образом доставленной и полученной </w:t>
      </w:r>
      <w:r>
        <w:rPr>
          <w:rFonts w:ascii="Times New Roman" w:hAnsi="Times New Roman" w:cs="Times New Roman"/>
          <w:sz w:val="20"/>
          <w:szCs w:val="20"/>
        </w:rPr>
        <w:t>Покупателем</w:t>
      </w:r>
      <w:r>
        <w:rPr>
          <w:rFonts w:ascii="Times New Roman" w:hAnsi="Times New Roman" w:cs="Times New Roman"/>
          <w:sz w:val="20"/>
          <w:szCs w:val="20"/>
        </w:rPr>
        <w:t xml:space="preserve"> в случае ее направления заказным письмом с уведомлением о вручении по адресу, указанному в настоящем договоре, или адресу фактического проживания на основании заявления </w:t>
      </w:r>
      <w:r>
        <w:rPr>
          <w:rFonts w:ascii="Times New Roman" w:hAnsi="Times New Roman" w:cs="Times New Roman"/>
          <w:sz w:val="20"/>
          <w:szCs w:val="20"/>
        </w:rPr>
        <w:t>Покупателя</w:t>
      </w:r>
      <w:r>
        <w:rPr>
          <w:rFonts w:ascii="Times New Roman" w:hAnsi="Times New Roman" w:cs="Times New Roman"/>
          <w:sz w:val="20"/>
          <w:szCs w:val="20"/>
        </w:rPr>
        <w:t xml:space="preserve">, и датой получения корреспонденции адресатом будет дата, указанная в уведомлении или на почтовом штемпеле этого уведомления. Надлежащим образом оформленные </w:t>
      </w:r>
      <w:r>
        <w:rPr>
          <w:rFonts w:ascii="Times New Roman" w:hAnsi="Times New Roman" w:cs="Times New Roman"/>
          <w:sz w:val="20"/>
          <w:szCs w:val="20"/>
        </w:rPr>
        <w:t>Продавцом</w:t>
      </w:r>
      <w:r>
        <w:rPr>
          <w:rFonts w:ascii="Times New Roman" w:hAnsi="Times New Roman" w:cs="Times New Roman"/>
          <w:sz w:val="20"/>
          <w:szCs w:val="20"/>
        </w:rPr>
        <w:t xml:space="preserve"> уведомления, иные извещения </w:t>
      </w:r>
      <w:r>
        <w:rPr>
          <w:rFonts w:ascii="Times New Roman" w:hAnsi="Times New Roman" w:cs="Times New Roman"/>
          <w:sz w:val="20"/>
          <w:szCs w:val="20"/>
        </w:rPr>
        <w:t>Покупателя</w:t>
      </w:r>
      <w:r>
        <w:rPr>
          <w:rFonts w:ascii="Times New Roman" w:hAnsi="Times New Roman" w:cs="Times New Roman"/>
          <w:sz w:val="20"/>
          <w:szCs w:val="20"/>
        </w:rPr>
        <w:t xml:space="preserve">, не встретившие возражения (не опротестованные) им в течение 5 дней после их получения, считаются принятыми и одобренными </w:t>
      </w:r>
      <w:r>
        <w:rPr>
          <w:rFonts w:ascii="Times New Roman" w:hAnsi="Times New Roman" w:cs="Times New Roman"/>
          <w:sz w:val="20"/>
          <w:szCs w:val="20"/>
        </w:rPr>
        <w:t>Покупателем</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10.4. Настоящий договор составлен в 2-х экземплярах, на русском языке по одному для каждой стороны, каждый из которых имеет одинаковую юридическую силу, вступает в силу с момента подписания и действует до исполнения Сторонами своих обязательств. Все предыдущие переписки и предварительные соглашения, касательно передачи права собственности на объект Покупателю, противоречащие условиям, указанным в ранее заключённом предварительном договоре, теряют юридическую силу с момента заключения данного договора.</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10.5. Во всем ином, что не предусмотрено настоящим Договором, Стороны руководствуются действующим законодательством Республики Узбекистан.</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r>
    </w:p>
    <w:p>
      <w:pPr>
        <w:pStyle w:val="para1"/>
        <w:numPr>
          <w:ilvl w:val="0"/>
          <w:numId w:val="13"/>
        </w:numPr>
        <w:ind w:left="567" w:hanging="360"/>
        <w:spacing/>
        <w:jc w:val="center"/>
        <w:tabs defTabSz="708">
          <w:tab w:val="left" w:pos="993" w:leader="none"/>
        </w:tabs>
        <w:rPr>
          <w:rFonts w:ascii="Times New Roman" w:hAnsi="Times New Roman"/>
          <w:color w:val="365f91"/>
          <w:sz w:val="20"/>
          <w:szCs w:val="20"/>
        </w:rPr>
      </w:pPr>
      <w:r>
        <w:rPr>
          <w:rFonts w:ascii="Times New Roman" w:hAnsi="Times New Roman"/>
          <w:color w:val="365f91"/>
          <w:sz w:val="20"/>
          <w:szCs w:val="20"/>
        </w:rPr>
        <w:t>ЮРИДИЧЕСКИЕ АДРЕСА И РЕКВИЗИТЫ СТОРОН</w:t>
      </w:r>
    </w:p>
    <w:p>
      <w:pPr>
        <w:pStyle w:val="para1"/>
        <w:ind w:left="567"/>
        <w:tabs defTabSz="708">
          <w:tab w:val="left" w:pos="993" w:leader="none"/>
        </w:tabs>
        <w:rPr>
          <w:rFonts w:ascii="Times New Roman" w:hAnsi="Times New Roman"/>
          <w:color w:val="365f91"/>
          <w:sz w:val="20"/>
          <w:szCs w:val="20"/>
        </w:rPr>
      </w:pPr>
      <w:r>
        <w:rPr>
          <w:rFonts w:ascii="Times New Roman" w:hAnsi="Times New Roman"/>
          <w:color w:val="365f91"/>
          <w:sz w:val="20"/>
          <w:szCs w:val="20"/>
        </w:rPr>
      </w:r>
    </w:p>
    <w:tbl>
      <w:tblPr>
        <w:tblStyle w:val="TableGrid"/>
        <w:name w:val="Таблица1"/>
        <w:tabOrder w:val="0"/>
        <w:jc w:val="left"/>
        <w:tblInd w:w="0" w:type="dxa"/>
        <w:tblW w:w="9497" w:type="dxa"/>
        <w:tblLook w:val="04A0" w:firstRow="1" w:lastRow="0" w:firstColumn="1" w:lastColumn="0" w:noHBand="0" w:noVBand="1"/>
      </w:tblPr>
      <w:tblGrid>
        <w:gridCol w:w="4798"/>
        <w:gridCol w:w="4699"/>
      </w:tblGrid>
      <w:tr>
        <w:trPr>
          <w:tblHeader w:val="0"/>
          <w:cantSplit w:val="0"/>
          <w:trHeight w:val="181" w:hRule="atLeast"/>
        </w:trPr>
        <w:tc>
          <w:tcPr>
            <w:tcW w:w="4798"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696180305" protected="0"/>
          </w:tcPr>
          <w:p>
            <w:pPr>
              <w:spacing/>
              <w:jc w:val="center"/>
              <w:rPr>
                <w:rFonts w:ascii="Times New Roman" w:hAnsi="Times New Roman" w:cs="Times New Roman"/>
                <w:b/>
                <w:sz w:val="20"/>
                <w:szCs w:val="20"/>
              </w:rPr>
            </w:pPr>
            <w:r/>
            <w:bookmarkStart w:id="18" w:name="_Hlk24619885"/>
            <w:bookmarkEnd w:id="18"/>
            <w:r/>
            <w:r>
              <w:rPr>
                <w:rFonts w:ascii="Times New Roman" w:hAnsi="Times New Roman" w:cs="Times New Roman"/>
                <w:b/>
                <w:sz w:val="20"/>
                <w:szCs w:val="20"/>
              </w:rPr>
              <w:t>OOO «</w:t>
            </w:r>
            <w:r>
              <w:rPr>
                <w:rFonts w:ascii="Times New Roman" w:hAnsi="Times New Roman" w:cs="Times New Roman"/>
                <w:b/>
                <w:sz w:val="20"/>
                <w:szCs w:val="20"/>
                <w:lang w:val="en-us"/>
              </w:rPr>
              <w:t>GOOD LUCK FUTURE</w:t>
            </w:r>
            <w:r>
              <w:rPr>
                <w:rFonts w:ascii="Times New Roman" w:hAnsi="Times New Roman" w:cs="Times New Roman"/>
                <w:b/>
                <w:sz w:val="20"/>
                <w:szCs w:val="20"/>
              </w:rPr>
              <w:t>»</w:t>
            </w:r>
            <w:r>
              <w:rPr>
                <w:rFonts w:ascii="Times New Roman" w:hAnsi="Times New Roman" w:cs="Times New Roman"/>
                <w:b/>
                <w:sz w:val="20"/>
                <w:szCs w:val="20"/>
              </w:rPr>
            </w:r>
          </w:p>
        </w:tc>
        <w:tc>
          <w:tcPr>
            <w:tcW w:w="4699"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696180305" protected="0"/>
          </w:tcPr>
          <w:p>
            <w:pPr>
              <w:spacing/>
              <w:jc w:val="center"/>
              <w:rPr>
                <w:rFonts w:ascii="Times New Roman" w:hAnsi="Times New Roman" w:cs="Times New Roman"/>
                <w:b/>
                <w:bCs/>
                <w:sz w:val="20"/>
                <w:szCs w:val="20"/>
              </w:rPr>
            </w:pPr>
            <w:r/>
            <w:bookmarkStart w:id="19" w:name="_Hlk112400710"/>
            <w:bookmarkEnd w:id="19"/>
            <w:r/>
            <w:r>
              <w:rPr>
                <w:rFonts w:ascii="Times New Roman" w:hAnsi="Times New Roman"/>
                <w:b/>
                <w:sz w:val="20"/>
                <w:szCs w:val="20"/>
                <w:lang w:val="en-us"/>
              </w:rPr>
              <w:t>Balsin</w:t>
            </w:r>
            <w:r>
              <w:rPr>
                <w:rFonts w:ascii="Times New Roman" w:hAnsi="Times New Roman"/>
                <w:b/>
                <w:sz w:val="20"/>
                <w:szCs w:val="20"/>
                <w:lang w:val="en-us"/>
              </w:rPr>
              <w:t xml:space="preserve"> Andrey </w:t>
            </w:r>
            <w:r>
              <w:rPr>
                <w:rFonts w:ascii="Times New Roman" w:hAnsi="Times New Roman"/>
                <w:b/>
                <w:sz w:val="20"/>
                <w:szCs w:val="20"/>
                <w:lang w:val="en-us"/>
              </w:rPr>
              <w:t>Aleksandrovich</w:t>
            </w:r>
            <w:r>
              <w:rPr>
                <w:rFonts w:ascii="Times New Roman" w:hAnsi="Times New Roman" w:cs="Times New Roman"/>
                <w:b/>
                <w:bCs/>
                <w:sz w:val="20"/>
                <w:szCs w:val="20"/>
              </w:rPr>
            </w:r>
          </w:p>
        </w:tc>
      </w:tr>
      <w:tr>
        <w:trPr>
          <w:tblHeader w:val="0"/>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6180305" protected="0"/>
          </w:tcPr>
          <w:p>
            <w:pPr>
              <w:rPr>
                <w:rFonts w:ascii="Times New Roman" w:hAnsi="Times New Roman" w:cs="Times New Roman"/>
                <w:b/>
                <w:sz w:val="20"/>
                <w:szCs w:val="20"/>
              </w:rPr>
            </w:pPr>
            <w:r>
              <w:rPr>
                <w:rFonts w:ascii="Times New Roman" w:hAnsi="Times New Roman" w:cs="Times New Roman"/>
                <w:b/>
                <w:sz w:val="20"/>
                <w:szCs w:val="20"/>
              </w:rPr>
              <w:t xml:space="preserve">Адрес: </w:t>
            </w:r>
            <w:r>
              <w:rPr>
                <w:rFonts w:ascii="Times New Roman" w:hAnsi="Times New Roman" w:cs="Times New Roman"/>
                <w:sz w:val="20"/>
                <w:szCs w:val="20"/>
              </w:rPr>
              <w:t>г. Ташкент, Яккасарайский район, ул. КичикБешегоч, дом№130</w:t>
            </w:r>
            <w:r>
              <w:rPr>
                <w:rFonts w:ascii="Times New Roman" w:hAnsi="Times New Roman" w:cs="Times New Roman"/>
                <w:b/>
                <w:sz w:val="20"/>
                <w:szCs w:val="20"/>
              </w:rPr>
            </w:r>
          </w:p>
        </w:tc>
        <w:tc>
          <w:tcPr>
            <w:tcW w:w="4699" w:type="dxa"/>
            <w:vMerge w:val="restart"/>
            <w:tcBorders>
              <w:top w:val="nil" w:sz="0" w:space="0" w:color="000000" tmln="20, 20, 20, 0, 0"/>
              <w:left w:val="nil" w:sz="0" w:space="0" w:color="000000" tmln="20, 20, 20, 0, 0"/>
              <w:bottom w:val="nil" w:sz="0" w:space="0" w:color="000000" tmln="20, 20, 20, 0, 0"/>
              <w:right w:val="nil" w:sz="0" w:space="0" w:color="000000" tmln="20, 20, 20, 0, 0"/>
            </w:tcBorders>
            <w:tmTcPr id="1696180305" protected="0"/>
          </w:tcPr>
          <w:p>
            <w:pPr>
              <w:rPr>
                <w:rFonts w:ascii="Times New Roman" w:hAnsi="Times New Roman" w:cs="Times New Roman"/>
                <w:b/>
                <w:sz w:val="20"/>
                <w:szCs w:val="20"/>
              </w:rPr>
            </w:pPr>
            <w:r>
              <w:rPr>
                <w:rFonts w:ascii="Times New Roman" w:hAnsi="Times New Roman" w:cs="Times New Roman"/>
                <w:b/>
                <w:sz w:val="20"/>
                <w:szCs w:val="20"/>
              </w:rPr>
              <w:t xml:space="preserve">Паспортные данные </w:t>
            </w:r>
            <w:r/>
            <w:bookmarkStart w:id="20" w:name="_Hlk112400720"/>
            <w:bookmarkEnd w:id="20"/>
            <w:r/>
            <w:r>
              <w:rPr>
                <w:rFonts w:ascii="Times New Roman" w:hAnsi="Times New Roman" w:cs="Times New Roman"/>
                <w:bCs/>
                <w:sz w:val="20"/>
                <w:szCs w:val="20"/>
                <w:lang w:val="en-us"/>
              </w:rPr>
              <w:t>AA</w:t>
            </w:r>
            <w:r>
              <w:rPr>
                <w:rFonts w:ascii="Times New Roman" w:hAnsi="Times New Roman" w:cs="Times New Roman"/>
                <w:bCs/>
                <w:sz w:val="20"/>
                <w:szCs w:val="20"/>
              </w:rPr>
              <w:t xml:space="preserve"> 5621750</w:t>
            </w:r>
            <w:r>
              <w:rPr>
                <w:rFonts w:ascii="Times New Roman" w:hAnsi="Times New Roman" w:cs="Times New Roman"/>
                <w:b/>
                <w:sz w:val="20"/>
                <w:szCs w:val="20"/>
              </w:rPr>
              <w:t xml:space="preserve"> </w:t>
            </w:r>
            <w:r>
              <w:rPr>
                <w:rFonts w:ascii="Times New Roman" w:hAnsi="Times New Roman" w:cs="Times New Roman"/>
                <w:bCs/>
                <w:sz w:val="20"/>
                <w:szCs w:val="20"/>
              </w:rPr>
              <w:t xml:space="preserve">выданный 02.06.2014г.,  выданный </w:t>
            </w:r>
            <w:r>
              <w:rPr>
                <w:rFonts w:ascii="Times New Roman" w:hAnsi="Times New Roman" w:cs="Times New Roman"/>
                <w:bCs/>
                <w:sz w:val="20"/>
                <w:szCs w:val="20"/>
                <w:lang w:val="en-us"/>
              </w:rPr>
              <w:t>Toshkent</w:t>
            </w:r>
            <w:r>
              <w:rPr>
                <w:rFonts w:ascii="Times New Roman" w:hAnsi="Times New Roman" w:cs="Times New Roman"/>
                <w:bCs/>
                <w:sz w:val="20"/>
                <w:szCs w:val="20"/>
              </w:rPr>
              <w:t xml:space="preserve"> </w:t>
            </w:r>
            <w:r>
              <w:rPr>
                <w:rFonts w:ascii="Times New Roman" w:hAnsi="Times New Roman" w:cs="Times New Roman"/>
                <w:bCs/>
                <w:sz w:val="20"/>
                <w:szCs w:val="20"/>
                <w:lang w:val="en-us"/>
              </w:rPr>
              <w:t>Shahar</w:t>
            </w:r>
            <w:r>
              <w:rPr>
                <w:rFonts w:ascii="Times New Roman" w:hAnsi="Times New Roman" w:cs="Times New Roman"/>
                <w:bCs/>
                <w:sz w:val="20"/>
                <w:szCs w:val="20"/>
              </w:rPr>
              <w:t xml:space="preserve"> </w:t>
            </w:r>
            <w:r>
              <w:rPr>
                <w:rFonts w:ascii="Times New Roman" w:hAnsi="Times New Roman" w:cs="Times New Roman"/>
                <w:bCs/>
                <w:sz w:val="20"/>
                <w:szCs w:val="20"/>
                <w:lang w:val="en-us"/>
              </w:rPr>
              <w:t>Uchtepa</w:t>
            </w:r>
            <w:r>
              <w:rPr>
                <w:rFonts w:ascii="Times New Roman" w:hAnsi="Times New Roman" w:cs="Times New Roman"/>
                <w:bCs/>
                <w:sz w:val="20"/>
                <w:szCs w:val="20"/>
              </w:rPr>
              <w:t xml:space="preserve"> </w:t>
            </w:r>
            <w:r>
              <w:rPr>
                <w:rFonts w:ascii="Times New Roman" w:hAnsi="Times New Roman" w:cs="Times New Roman"/>
                <w:bCs/>
                <w:sz w:val="20"/>
                <w:szCs w:val="20"/>
                <w:lang w:val="en-us"/>
              </w:rPr>
              <w:t>tumani</w:t>
            </w:r>
            <w:r>
              <w:rPr>
                <w:rFonts w:ascii="Times New Roman" w:hAnsi="Times New Roman" w:cs="Times New Roman"/>
                <w:bCs/>
                <w:sz w:val="20"/>
                <w:szCs w:val="20"/>
              </w:rPr>
              <w:t xml:space="preserve"> </w:t>
            </w:r>
            <w:r>
              <w:rPr>
                <w:rFonts w:ascii="Times New Roman" w:hAnsi="Times New Roman" w:cs="Times New Roman"/>
                <w:bCs/>
                <w:sz w:val="20"/>
                <w:szCs w:val="20"/>
                <w:lang w:val="en-us"/>
              </w:rPr>
              <w:t>IIB</w:t>
            </w:r>
            <w:r>
              <w:rPr>
                <w:rFonts w:ascii="Times New Roman" w:hAnsi="Times New Roman" w:cs="Times New Roman"/>
                <w:b/>
                <w:sz w:val="20"/>
                <w:szCs w:val="20"/>
              </w:rPr>
              <w:t>.</w:t>
            </w:r>
            <w:r>
              <w:rPr>
                <w:rFonts w:ascii="Times New Roman" w:hAnsi="Times New Roman" w:cs="Times New Roman"/>
                <w:b/>
                <w:sz w:val="20"/>
                <w:szCs w:val="20"/>
              </w:rPr>
            </w:r>
          </w:p>
          <w:p>
            <w:pPr>
              <w:rPr>
                <w:rFonts w:ascii="Times New Roman" w:hAnsi="Times New Roman" w:cs="Times New Roman"/>
                <w:b/>
                <w:sz w:val="20"/>
                <w:szCs w:val="20"/>
              </w:rPr>
            </w:pPr>
            <w:r>
              <w:rPr>
                <w:rFonts w:ascii="Times New Roman" w:hAnsi="Times New Roman" w:cs="Times New Roman"/>
                <w:b/>
                <w:sz w:val="20"/>
                <w:szCs w:val="20"/>
              </w:rPr>
              <w:t xml:space="preserve">Адрес: </w:t>
            </w:r>
            <w:r>
              <w:rPr>
                <w:rFonts w:ascii="Times New Roman" w:hAnsi="Times New Roman" w:cs="Times New Roman"/>
                <w:bCs/>
                <w:sz w:val="20"/>
                <w:szCs w:val="20"/>
              </w:rPr>
              <w:t>Республика Узбекистан, г.Ташкент, Учтепинский р-н, Кв-л Г9а, дом 13, квартира 73</w:t>
            </w:r>
            <w:r>
              <w:rPr>
                <w:rFonts w:ascii="Times New Roman" w:hAnsi="Times New Roman" w:cs="Times New Roman"/>
                <w:b/>
                <w:sz w:val="20"/>
                <w:szCs w:val="20"/>
              </w:rPr>
              <w:t>.</w:t>
            </w:r>
            <w:r>
              <w:rPr>
                <w:rFonts w:ascii="Times New Roman" w:hAnsi="Times New Roman" w:cs="Times New Roman"/>
                <w:b/>
                <w:sz w:val="20"/>
                <w:szCs w:val="20"/>
              </w:rPr>
            </w:r>
          </w:p>
          <w:p>
            <w:pPr>
              <w:rPr>
                <w:rFonts w:ascii="Times New Roman" w:hAnsi="Times New Roman" w:cs="Times New Roman"/>
                <w:b/>
                <w:sz w:val="20"/>
                <w:szCs w:val="20"/>
              </w:rPr>
            </w:pPr>
            <w:r>
              <w:rPr>
                <w:rFonts w:ascii="Times New Roman" w:hAnsi="Times New Roman" w:cs="Times New Roman"/>
                <w:b/>
                <w:sz w:val="20"/>
                <w:szCs w:val="20"/>
              </w:rPr>
              <w:t>Р/С:</w:t>
            </w:r>
          </w:p>
          <w:p>
            <w:pPr>
              <w:rPr>
                <w:rFonts w:ascii="Times New Roman" w:hAnsi="Times New Roman" w:cs="Times New Roman"/>
                <w:b/>
                <w:sz w:val="20"/>
                <w:szCs w:val="20"/>
              </w:rPr>
            </w:pPr>
            <w:r>
              <w:rPr>
                <w:rFonts w:ascii="Times New Roman" w:hAnsi="Times New Roman" w:cs="Times New Roman"/>
                <w:b/>
                <w:sz w:val="20"/>
                <w:szCs w:val="20"/>
              </w:rPr>
              <w:t>в</w:t>
            </w:r>
          </w:p>
          <w:p>
            <w:pPr>
              <w:rPr>
                <w:rFonts w:ascii="Times New Roman" w:hAnsi="Times New Roman" w:cs="Times New Roman"/>
                <w:sz w:val="20"/>
                <w:szCs w:val="20"/>
              </w:rPr>
            </w:pPr>
            <w:r>
              <w:rPr>
                <w:rFonts w:ascii="Times New Roman" w:hAnsi="Times New Roman" w:cs="Times New Roman"/>
                <w:b/>
                <w:sz w:val="20"/>
                <w:szCs w:val="20"/>
              </w:rPr>
              <w:t xml:space="preserve">тел:  </w:t>
            </w:r>
            <w:r>
              <w:rPr>
                <w:rFonts w:ascii="Times New Roman" w:hAnsi="Times New Roman" w:cs="Times New Roman"/>
                <w:sz w:val="20"/>
                <w:szCs w:val="20"/>
              </w:rPr>
            </w:r>
          </w:p>
          <w:p>
            <w:pPr>
              <w:rPr>
                <w:rFonts w:ascii="Times New Roman" w:hAnsi="Times New Roman" w:cs="Times New Roman"/>
                <w:sz w:val="20"/>
                <w:szCs w:val="20"/>
              </w:rPr>
            </w:pPr>
            <w:r>
              <w:rPr>
                <w:rFonts w:ascii="Times New Roman" w:hAnsi="Times New Roman" w:cs="Times New Roman"/>
                <w:sz w:val="20"/>
                <w:szCs w:val="20"/>
              </w:rPr>
            </w:r>
          </w:p>
          <w:p>
            <w:pPr>
              <w:rPr>
                <w:rFonts w:ascii="Times New Roman" w:hAnsi="Times New Roman" w:cs="Times New Roman"/>
                <w:b/>
                <w:bCs/>
                <w:sz w:val="20"/>
                <w:szCs w:val="20"/>
              </w:rPr>
            </w:pPr>
            <w:r>
              <w:rPr>
                <w:rFonts w:ascii="Times New Roman" w:hAnsi="Times New Roman" w:cs="Times New Roman"/>
                <w:b/>
                <w:sz w:val="20"/>
                <w:szCs w:val="20"/>
              </w:rPr>
              <w:t>ИНН:</w:t>
            </w:r>
            <w:r>
              <w:rPr>
                <w:rFonts w:ascii="Times New Roman" w:hAnsi="Times New Roman" w:cs="Times New Roman"/>
                <w:sz w:val="20"/>
                <w:szCs w:val="20"/>
              </w:rPr>
              <w:t xml:space="preserve"> ________________</w:t>
            </w:r>
            <w:r>
              <w:rPr>
                <w:rFonts w:ascii="Times New Roman" w:hAnsi="Times New Roman" w:cs="Times New Roman"/>
                <w:b/>
                <w:bCs/>
                <w:sz w:val="20"/>
                <w:szCs w:val="20"/>
              </w:rPr>
            </w:r>
          </w:p>
          <w:p>
            <w:pPr>
              <w:rPr>
                <w:rFonts w:ascii="Times New Roman" w:hAnsi="Times New Roman" w:cs="Times New Roman"/>
                <w:b/>
                <w:sz w:val="20"/>
                <w:szCs w:val="20"/>
              </w:rPr>
            </w:pPr>
            <w:r>
              <w:rPr>
                <w:rFonts w:ascii="Times New Roman" w:hAnsi="Times New Roman" w:cs="Times New Roman"/>
                <w:b/>
                <w:sz w:val="20"/>
                <w:szCs w:val="20"/>
              </w:rPr>
            </w:r>
          </w:p>
          <w:p>
            <w:pPr>
              <w:rPr>
                <w:rFonts w:ascii="Times New Roman" w:hAnsi="Times New Roman" w:cs="Times New Roman"/>
                <w:b/>
                <w:sz w:val="20"/>
                <w:szCs w:val="20"/>
              </w:rPr>
            </w:pPr>
            <w:r>
              <w:rPr>
                <w:rFonts w:ascii="Times New Roman" w:hAnsi="Times New Roman" w:cs="Times New Roman"/>
                <w:b/>
                <w:sz w:val="20"/>
                <w:szCs w:val="20"/>
              </w:rPr>
            </w:r>
          </w:p>
          <w:p>
            <w:pPr>
              <w:spacing/>
              <w:jc w:val="center"/>
              <w:rPr>
                <w:rFonts w:ascii="Times New Roman" w:hAnsi="Times New Roman" w:cs="Times New Roman"/>
                <w:b/>
                <w:sz w:val="20"/>
                <w:szCs w:val="20"/>
              </w:rPr>
            </w:pPr>
            <w:r>
              <w:rPr>
                <w:rFonts w:ascii="Times New Roman" w:hAnsi="Times New Roman" w:cs="Times New Roman"/>
                <w:b/>
                <w:sz w:val="20"/>
                <w:szCs w:val="20"/>
              </w:rPr>
              <w:t>_______________________</w:t>
            </w:r>
          </w:p>
        </w:tc>
      </w:tr>
      <w:tr>
        <w:trPr>
          <w:tblHeader w:val="0"/>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6180305" protected="0"/>
          </w:tcPr>
          <w:p>
            <w:pPr>
              <w:rPr>
                <w:rFonts w:ascii="Times New Roman" w:hAnsi="Times New Roman" w:cs="Times New Roman"/>
                <w:sz w:val="20"/>
                <w:szCs w:val="20"/>
              </w:rPr>
            </w:pPr>
            <w:r>
              <w:rPr>
                <w:rFonts w:ascii="Times New Roman" w:hAnsi="Times New Roman" w:cs="Times New Roman"/>
                <w:b/>
                <w:sz w:val="20"/>
                <w:szCs w:val="20"/>
              </w:rPr>
              <w:t xml:space="preserve">Р/С: </w:t>
            </w:r>
            <w:r>
              <w:rPr>
                <w:rFonts w:ascii="Times New Roman" w:hAnsi="Times New Roman" w:cs="Times New Roman"/>
                <w:sz w:val="20"/>
                <w:szCs w:val="20"/>
              </w:rPr>
              <w:t>20208000000738319001</w:t>
            </w:r>
          </w:p>
          <w:p>
            <w:pPr>
              <w:rPr>
                <w:rFonts w:ascii="Times New Roman" w:hAnsi="Times New Roman" w:cs="Times New Roman"/>
                <w:b/>
                <w:sz w:val="20"/>
                <w:szCs w:val="20"/>
              </w:rPr>
            </w:pPr>
            <w:r>
              <w:rPr>
                <w:rFonts w:ascii="Times New Roman" w:hAnsi="Times New Roman" w:cs="Times New Roman"/>
                <w:b/>
                <w:sz w:val="20"/>
                <w:szCs w:val="20"/>
              </w:rPr>
              <w:t xml:space="preserve">в </w:t>
            </w:r>
            <w:r>
              <w:rPr>
                <w:rFonts w:ascii="Times New Roman" w:hAnsi="Times New Roman" w:cs="Times New Roman"/>
                <w:sz w:val="20"/>
                <w:szCs w:val="20"/>
              </w:rPr>
              <w:t>АТИБ</w:t>
            </w:r>
            <w:r>
              <w:rPr>
                <w:rFonts w:ascii="Times New Roman" w:hAnsi="Times New Roman" w:cs="Times New Roman"/>
                <w:b/>
                <w:sz w:val="20"/>
                <w:szCs w:val="20"/>
              </w:rPr>
              <w:t xml:space="preserve"> </w:t>
            </w:r>
            <w:r>
              <w:rPr>
                <w:rFonts w:ascii="Times New Roman" w:hAnsi="Times New Roman" w:cs="Times New Roman"/>
                <w:sz w:val="20"/>
                <w:szCs w:val="20"/>
              </w:rPr>
              <w:t>"Ипотека банк" Яккасарайский филиал</w:t>
            </w:r>
            <w:r>
              <w:rPr>
                <w:rFonts w:ascii="Times New Roman" w:hAnsi="Times New Roman" w:cs="Times New Roman"/>
                <w:b/>
                <w:sz w:val="20"/>
                <w:szCs w:val="20"/>
              </w:rPr>
            </w:r>
          </w:p>
          <w:p>
            <w:pPr>
              <w:rPr>
                <w:rFonts w:ascii="Times New Roman" w:hAnsi="Times New Roman" w:cs="Times New Roman"/>
                <w:b/>
                <w:sz w:val="20"/>
                <w:szCs w:val="20"/>
              </w:rPr>
            </w:pPr>
            <w:r>
              <w:rPr>
                <w:rFonts w:ascii="Times New Roman" w:hAnsi="Times New Roman" w:cs="Times New Roman"/>
                <w:b/>
                <w:sz w:val="20"/>
                <w:szCs w:val="20"/>
              </w:rPr>
              <w:t xml:space="preserve">МФО </w:t>
            </w:r>
            <w:r>
              <w:rPr>
                <w:rFonts w:ascii="Times New Roman" w:hAnsi="Times New Roman" w:cs="Times New Roman"/>
                <w:sz w:val="20"/>
                <w:szCs w:val="20"/>
              </w:rPr>
              <w:t xml:space="preserve">01017 </w:t>
            </w:r>
            <w:r>
              <w:rPr>
                <w:rFonts w:ascii="Times New Roman" w:hAnsi="Times New Roman" w:cs="Times New Roman"/>
                <w:b/>
                <w:sz w:val="20"/>
                <w:szCs w:val="20"/>
              </w:rPr>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6180305" protected="0"/>
          </w:tcPr>
          <w:p/>
        </w:tc>
      </w:tr>
      <w:tr>
        <w:trPr>
          <w:tblHeader w:val="0"/>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6180305" protected="0"/>
          </w:tcPr>
          <w:p>
            <w:pPr>
              <w:rPr>
                <w:rFonts w:ascii="Times New Roman" w:hAnsi="Times New Roman" w:cs="Times New Roman"/>
                <w:b/>
                <w:sz w:val="20"/>
                <w:szCs w:val="20"/>
              </w:rPr>
            </w:pPr>
            <w:r>
              <w:rPr>
                <w:rFonts w:ascii="Times New Roman" w:hAnsi="Times New Roman" w:cs="Times New Roman"/>
                <w:b/>
                <w:sz w:val="20"/>
                <w:szCs w:val="20"/>
              </w:rPr>
              <w:t xml:space="preserve">ИНН: </w:t>
            </w:r>
            <w:r>
              <w:rPr>
                <w:rFonts w:ascii="Times New Roman" w:hAnsi="Times New Roman" w:cs="Times New Roman"/>
                <w:sz w:val="20"/>
                <w:szCs w:val="20"/>
              </w:rPr>
              <w:t xml:space="preserve">304704243, </w:t>
            </w:r>
            <w:r>
              <w:rPr>
                <w:rFonts w:ascii="Times New Roman" w:hAnsi="Times New Roman" w:cs="Times New Roman"/>
                <w:b/>
                <w:sz w:val="20"/>
                <w:szCs w:val="20"/>
              </w:rPr>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6180305" protected="0"/>
          </w:tcPr>
          <w:p/>
        </w:tc>
      </w:tr>
      <w:tr>
        <w:trPr>
          <w:tblHeader w:val="0"/>
          <w:cantSplit w:val="0"/>
          <w:trHeight w:val="504" w:hRule="atLeast"/>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6180305" protected="0"/>
          </w:tcPr>
          <w:p>
            <w:pPr>
              <w:rPr>
                <w:rFonts w:ascii="Times New Roman" w:hAnsi="Times New Roman" w:cs="Times New Roman"/>
                <w:sz w:val="20"/>
                <w:szCs w:val="20"/>
              </w:rPr>
            </w:pPr>
            <w:r>
              <w:rPr>
                <w:rFonts w:ascii="Times New Roman" w:hAnsi="Times New Roman" w:cs="Times New Roman"/>
                <w:b/>
                <w:sz w:val="20"/>
                <w:szCs w:val="20"/>
              </w:rPr>
              <w:t xml:space="preserve">ОКЭД: </w:t>
            </w:r>
            <w:r>
              <w:rPr>
                <w:rFonts w:ascii="Times New Roman" w:hAnsi="Times New Roman" w:cs="Times New Roman"/>
                <w:sz w:val="20"/>
                <w:szCs w:val="20"/>
              </w:rPr>
              <w:t>71390</w:t>
            </w:r>
          </w:p>
          <w:p>
            <w:pPr>
              <w:rPr>
                <w:rFonts w:ascii="Times New Roman" w:hAnsi="Times New Roman" w:cs="Times New Roman"/>
                <w:sz w:val="20"/>
                <w:szCs w:val="20"/>
              </w:rPr>
            </w:pPr>
            <w:r>
              <w:rPr>
                <w:rFonts w:ascii="Times New Roman" w:hAnsi="Times New Roman" w:cs="Times New Roman"/>
                <w:b/>
                <w:sz w:val="20"/>
                <w:szCs w:val="20"/>
              </w:rPr>
              <w:t>Тел</w:t>
            </w:r>
            <w:r>
              <w:rPr>
                <w:rFonts w:ascii="Times New Roman" w:hAnsi="Times New Roman" w:cs="Times New Roman"/>
                <w:sz w:val="20"/>
                <w:szCs w:val="20"/>
              </w:rPr>
              <w:t>:+998954784444</w:t>
            </w:r>
          </w:p>
          <w:p>
            <w:pPr>
              <w:rPr>
                <w:rFonts w:ascii="Times New Roman" w:hAnsi="Times New Roman" w:cs="Times New Roman"/>
                <w:b/>
                <w:sz w:val="20"/>
                <w:szCs w:val="20"/>
              </w:rPr>
            </w:pPr>
            <w:r>
              <w:rPr>
                <w:rFonts w:ascii="Times New Roman" w:hAnsi="Times New Roman" w:cs="Times New Roman"/>
                <w:b/>
                <w:sz w:val="20"/>
                <w:szCs w:val="20"/>
              </w:rPr>
            </w:r>
          </w:p>
          <w:p>
            <w:pPr>
              <w:rPr>
                <w:rFonts w:ascii="Times New Roman" w:hAnsi="Times New Roman" w:cs="Times New Roman"/>
                <w:b/>
                <w:sz w:val="20"/>
                <w:szCs w:val="20"/>
              </w:rPr>
            </w:pPr>
            <w:r>
              <w:rPr>
                <w:rFonts w:ascii="Times New Roman" w:hAnsi="Times New Roman" w:cs="Times New Roman"/>
                <w:b/>
                <w:sz w:val="20"/>
                <w:szCs w:val="20"/>
              </w:rPr>
            </w:r>
          </w:p>
          <w:p>
            <w:pPr>
              <w:spacing/>
              <w:jc w:val="center"/>
              <w:rPr>
                <w:rFonts w:ascii="Times New Roman" w:hAnsi="Times New Roman" w:cs="Times New Roman"/>
                <w:b/>
                <w:sz w:val="20"/>
                <w:szCs w:val="20"/>
              </w:rPr>
            </w:pPr>
            <w:r>
              <w:rPr>
                <w:rFonts w:ascii="Times New Roman" w:hAnsi="Times New Roman" w:cs="Times New Roman"/>
                <w:b/>
                <w:sz w:val="20"/>
                <w:szCs w:val="20"/>
              </w:rPr>
              <w:t>____________________________</w:t>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6180305" protected="0"/>
          </w:tcPr>
          <w:p/>
        </w:tc>
      </w:tr>
    </w:tbl>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Приложение № 1</w:t>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 xml:space="preserve">к Предварительному договору </w:t>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 1/13 от «17» ноября 2021г.</w:t>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tbl>
      <w:tblPr>
        <w:tblStyle w:val="TableNormal"/>
        <w:name w:val="Таблица2"/>
        <w:tabOrder w:val="0"/>
        <w:jc w:val="center"/>
        <w:tblInd w:w="0" w:type="dxa"/>
        <w:tblW w:w="8797" w:type="dxa"/>
        <w:tblLook w:val="0600" w:firstRow="0" w:lastRow="0" w:firstColumn="0" w:lastColumn="0" w:noHBand="1" w:noVBand="1"/>
      </w:tblPr>
      <w:tblGrid>
        <w:gridCol w:w="1140"/>
        <w:gridCol w:w="5389"/>
        <w:gridCol w:w="2268"/>
      </w:tblGrid>
      <w:tr>
        <w:trPr>
          <w:tblHeader w:val="0"/>
          <w:cantSplit w:val="0"/>
          <w:trHeight w:val="570" w:hRule="atLeast"/>
        </w:trPr>
        <w:tc>
          <w:tcPr>
            <w:tcW w:w="114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платежа</w:t>
            </w:r>
          </w:p>
        </w:tc>
        <w:tc>
          <w:tcPr>
            <w:tcW w:w="5389" w:type="dxa"/>
            <w:shd w:val="none"/>
            <w:tcMar>
              <w:top w:w="0" w:type="dxa"/>
              <w:left w:w="0" w:type="dxa"/>
              <w:bottom w:w="0" w:type="dxa"/>
              <w:right w:w="0" w:type="dxa"/>
            </w:tcMar>
            <w:tcBorders>
              <w:top w:val="single" w:sz="4" w:space="0" w:color="000000" tmln="1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дата платежа</w:t>
            </w:r>
          </w:p>
        </w:tc>
        <w:tc>
          <w:tcPr>
            <w:tcW w:w="2268" w:type="dxa"/>
            <w:shd w:val="none"/>
            <w:tcMar>
              <w:top w:w="0" w:type="dxa"/>
              <w:left w:w="0" w:type="dxa"/>
              <w:bottom w:w="0" w:type="dxa"/>
              <w:right w:w="0" w:type="dxa"/>
            </w:tcMar>
            <w:tcBorders>
              <w:top w:val="single" w:sz="4" w:space="0" w:color="000000" tmln="1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сумма платежа </w:t>
              <w:br w:type="textWrapping"/>
              <w:t xml:space="preserve">(сум) </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r>
          </w:p>
        </w:tc>
        <w:tc>
          <w:tcPr>
            <w:tcW w:w="5389"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3-х банковских дней, с даты </w:t>
            </w:r>
          </w:p>
          <w:p>
            <w:pPr>
              <w:rPr>
                <w:rFonts w:ascii="Times New Roman" w:hAnsi="Times New Roman" w:cs="Times New Roman"/>
                <w:color w:val="000000"/>
                <w:sz w:val="20"/>
                <w:szCs w:val="20"/>
              </w:rPr>
            </w:pPr>
            <w:r>
              <w:rPr>
                <w:rFonts w:ascii="Times New Roman" w:hAnsi="Times New Roman" w:cs="Times New Roman"/>
                <w:color w:val="000000"/>
                <w:sz w:val="20"/>
                <w:szCs w:val="20"/>
              </w:rPr>
              <w:t>подписания настоящего договора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b/>
                <w:bCs/>
                <w:color w:val="000000"/>
                <w:sz w:val="20"/>
                <w:szCs w:val="20"/>
                <w:lang w:val="en-us"/>
              </w:rPr>
            </w:pPr>
            <w:r>
              <w:rPr>
                <w:rFonts w:ascii="Times New Roman" w:hAnsi="Times New Roman" w:cs="Times New Roman"/>
                <w:b/>
                <w:sz w:val="20"/>
                <w:szCs w:val="20"/>
              </w:rPr>
              <w:t>255 000 000,00</w:t>
            </w:r>
            <w:r>
              <w:rPr>
                <w:rFonts w:ascii="Times New Roman" w:hAnsi="Times New Roman" w:cs="Times New Roman"/>
                <w:b/>
                <w:bCs/>
                <w:color w:val="000000"/>
                <w:sz w:val="20"/>
                <w:szCs w:val="20"/>
                <w:lang w:val="en-us"/>
              </w:rPr>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rPr>
                <w:rFonts w:ascii="Times New Roman" w:hAnsi="Times New Roman" w:cs="Times New Roman"/>
                <w:sz w:val="20"/>
                <w:szCs w:val="20"/>
              </w:rPr>
            </w:pPr>
            <w:r>
              <w:rPr>
                <w:rFonts w:ascii="Times New Roman" w:hAnsi="Times New Roman" w:cs="Times New Roman"/>
                <w:sz w:val="20"/>
                <w:szCs w:val="20"/>
              </w:rPr>
              <w:t>До 15 декабря 2021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rPr>
                <w:rFonts w:ascii="Times New Roman" w:hAnsi="Times New Roman" w:cs="Times New Roman"/>
                <w:sz w:val="20"/>
                <w:szCs w:val="20"/>
              </w:rPr>
            </w:pPr>
            <w:r>
              <w:rPr>
                <w:rFonts w:ascii="Times New Roman" w:hAnsi="Times New Roman" w:cs="Times New Roman"/>
                <w:sz w:val="20"/>
                <w:szCs w:val="20"/>
              </w:rPr>
              <w:t>До 15 января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rPr>
                <w:rFonts w:ascii="Times New Roman" w:hAnsi="Times New Roman" w:cs="Times New Roman"/>
                <w:sz w:val="20"/>
                <w:szCs w:val="20"/>
              </w:rPr>
            </w:pPr>
            <w:r>
              <w:rPr>
                <w:rFonts w:ascii="Times New Roman" w:hAnsi="Times New Roman" w:cs="Times New Roman"/>
                <w:sz w:val="20"/>
                <w:szCs w:val="20"/>
              </w:rPr>
              <w:t>До 15 февраля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rPr>
                <w:rFonts w:ascii="Times New Roman" w:hAnsi="Times New Roman" w:cs="Times New Roman"/>
                <w:sz w:val="20"/>
                <w:szCs w:val="20"/>
              </w:rPr>
            </w:pPr>
            <w:r>
              <w:rPr>
                <w:rFonts w:ascii="Times New Roman" w:hAnsi="Times New Roman" w:cs="Times New Roman"/>
                <w:sz w:val="20"/>
                <w:szCs w:val="20"/>
              </w:rPr>
              <w:t>До 15 марта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rPr>
                <w:rFonts w:ascii="Times New Roman" w:hAnsi="Times New Roman" w:cs="Times New Roman"/>
                <w:sz w:val="20"/>
                <w:szCs w:val="20"/>
              </w:rPr>
            </w:pPr>
            <w:r>
              <w:rPr>
                <w:rFonts w:ascii="Times New Roman" w:hAnsi="Times New Roman" w:cs="Times New Roman"/>
                <w:sz w:val="20"/>
                <w:szCs w:val="20"/>
              </w:rPr>
              <w:t>До 15 апреля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6</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rPr>
                <w:rFonts w:ascii="Times New Roman" w:hAnsi="Times New Roman" w:cs="Times New Roman"/>
                <w:sz w:val="20"/>
                <w:szCs w:val="20"/>
              </w:rPr>
            </w:pPr>
            <w:r>
              <w:rPr>
                <w:rFonts w:ascii="Times New Roman" w:hAnsi="Times New Roman" w:cs="Times New Roman"/>
                <w:sz w:val="20"/>
                <w:szCs w:val="20"/>
              </w:rPr>
              <w:t>До 15 мая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7</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rPr>
                <w:rFonts w:ascii="Times New Roman" w:hAnsi="Times New Roman" w:cs="Times New Roman"/>
                <w:sz w:val="20"/>
                <w:szCs w:val="20"/>
              </w:rPr>
            </w:pPr>
            <w:r>
              <w:rPr>
                <w:rFonts w:ascii="Times New Roman" w:hAnsi="Times New Roman" w:cs="Times New Roman"/>
                <w:sz w:val="20"/>
                <w:szCs w:val="20"/>
              </w:rPr>
              <w:t>До 15 июня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8</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rPr>
                <w:rFonts w:ascii="Times New Roman" w:hAnsi="Times New Roman" w:cs="Times New Roman"/>
                <w:sz w:val="20"/>
                <w:szCs w:val="20"/>
              </w:rPr>
            </w:pPr>
            <w:r>
              <w:rPr>
                <w:rFonts w:ascii="Times New Roman" w:hAnsi="Times New Roman" w:cs="Times New Roman"/>
                <w:sz w:val="20"/>
                <w:szCs w:val="20"/>
              </w:rPr>
              <w:t>До 15 июля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9</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rPr>
                <w:rFonts w:ascii="Times New Roman" w:hAnsi="Times New Roman" w:cs="Times New Roman"/>
                <w:sz w:val="20"/>
                <w:szCs w:val="20"/>
              </w:rPr>
            </w:pPr>
            <w:r>
              <w:rPr>
                <w:rFonts w:ascii="Times New Roman" w:hAnsi="Times New Roman" w:cs="Times New Roman"/>
                <w:sz w:val="20"/>
                <w:szCs w:val="20"/>
              </w:rPr>
              <w:t>До 15 августа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10</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rPr>
                <w:rFonts w:ascii="Times New Roman" w:hAnsi="Times New Roman" w:cs="Times New Roman"/>
                <w:sz w:val="20"/>
                <w:szCs w:val="20"/>
              </w:rPr>
            </w:pPr>
            <w:r>
              <w:rPr>
                <w:rFonts w:ascii="Times New Roman" w:hAnsi="Times New Roman" w:cs="Times New Roman"/>
                <w:sz w:val="20"/>
                <w:szCs w:val="20"/>
              </w:rPr>
              <w:t>До 15 сентября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11</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rPr>
                <w:rFonts w:ascii="Times New Roman" w:hAnsi="Times New Roman" w:cs="Times New Roman"/>
                <w:sz w:val="20"/>
                <w:szCs w:val="20"/>
              </w:rPr>
            </w:pPr>
            <w:r>
              <w:rPr>
                <w:rFonts w:ascii="Times New Roman" w:hAnsi="Times New Roman" w:cs="Times New Roman"/>
                <w:sz w:val="20"/>
                <w:szCs w:val="20"/>
              </w:rPr>
              <w:t>До 15 октября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12</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rPr>
                <w:rFonts w:ascii="Times New Roman" w:hAnsi="Times New Roman" w:cs="Times New Roman"/>
                <w:sz w:val="20"/>
                <w:szCs w:val="20"/>
              </w:rPr>
            </w:pPr>
            <w:r>
              <w:rPr>
                <w:rFonts w:ascii="Times New Roman" w:hAnsi="Times New Roman" w:cs="Times New Roman"/>
                <w:sz w:val="20"/>
                <w:szCs w:val="20"/>
              </w:rPr>
              <w:t>До 15 ноября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b/>
                <w:sz w:val="20"/>
                <w:szCs w:val="20"/>
              </w:rPr>
            </w:pPr>
            <w:r>
              <w:rPr>
                <w:rFonts w:ascii="Times New Roman" w:hAnsi="Times New Roman" w:cs="Times New Roman"/>
                <w:b/>
                <w:sz w:val="20"/>
                <w:szCs w:val="20"/>
              </w:rPr>
              <w:t>27 634 000,00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rPr>
                <w:rFonts w:ascii="Times New Roman" w:hAnsi="Times New Roman" w:cs="Times New Roman"/>
                <w:color w:val="000000"/>
                <w:sz w:val="20"/>
                <w:szCs w:val="20"/>
              </w:rPr>
            </w:pPr>
            <w:r>
              <w:rPr>
                <w:rFonts w:ascii="Times New Roman" w:hAnsi="Times New Roman" w:cs="Times New Roman"/>
                <w:color w:val="000000"/>
                <w:sz w:val="20"/>
                <w:szCs w:val="20"/>
              </w:rPr>
              <w:t> </w:t>
            </w:r>
          </w:p>
        </w:tc>
        <w:tc>
          <w:tcPr>
            <w:tcW w:w="5389"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rPr>
                <w:rFonts w:ascii="Times New Roman" w:hAnsi="Times New Roman" w:cs="Times New Roman"/>
                <w:b/>
                <w:bCs/>
                <w:color w:val="000000"/>
                <w:sz w:val="20"/>
                <w:szCs w:val="20"/>
              </w:rPr>
            </w:pPr>
            <w:r>
              <w:rPr>
                <w:rFonts w:ascii="Times New Roman" w:hAnsi="Times New Roman" w:cs="Times New Roman"/>
                <w:b/>
                <w:bCs/>
                <w:color w:val="000000"/>
                <w:sz w:val="20"/>
                <w:szCs w:val="20"/>
              </w:rPr>
              <w:t>итого</w:t>
            </w:r>
          </w:p>
        </w:tc>
        <w:tc>
          <w:tcPr>
            <w:tcW w:w="2268"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jc w:val="center"/>
              <w:rPr>
                <w:rFonts w:ascii="Times New Roman" w:hAnsi="Times New Roman" w:cs="Times New Roman"/>
                <w:b/>
                <w:bCs/>
                <w:iCs/>
                <w:color w:val="000000"/>
                <w:sz w:val="20"/>
                <w:szCs w:val="20"/>
              </w:rPr>
            </w:pPr>
            <w:r>
              <w:rPr>
                <w:rFonts w:ascii="Times New Roman" w:hAnsi="Times New Roman" w:cs="Times New Roman"/>
                <w:b/>
                <w:iCs/>
                <w:sz w:val="20"/>
                <w:szCs w:val="20"/>
              </w:rPr>
              <w:t>516 384 000,00</w:t>
            </w:r>
            <w:r>
              <w:rPr>
                <w:rFonts w:ascii="Times New Roman" w:hAnsi="Times New Roman" w:cs="Times New Roman"/>
                <w:b/>
                <w:bCs/>
                <w:iCs/>
                <w:color w:val="000000"/>
                <w:sz w:val="20"/>
                <w:szCs w:val="20"/>
              </w:rPr>
            </w:r>
          </w:p>
        </w:tc>
      </w:tr>
    </w:tbl>
    <w:p>
      <w:pPr>
        <w:spacing/>
        <w:jc w:val="center"/>
        <w:rPr>
          <w:rFonts w:ascii="Times New Roman" w:hAnsi="Times New Roman" w:cs="Times New Roman"/>
          <w:sz w:val="20"/>
          <w:szCs w:val="20"/>
        </w:rPr>
      </w:pPr>
      <w:r>
        <w:rPr>
          <w:rFonts w:ascii="Times New Roman" w:hAnsi="Times New Roman" w:cs="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tbl>
      <w:tblPr>
        <w:tblpPr w:horzAnchor="margin" w:tblpXSpec="center" w:vertAnchor="text" w:tblpY="182" w:leftFromText="180" w:rightFromText="180" w:topFromText="0" w:bottomFromText="0"/>
        <w:tblOverlap w:val="never"/>
        <w:tblStyle w:val="TableGrid"/>
        <w:name w:val="Таблица3"/>
        <w:tabOrder w:val="0"/>
        <w:jc w:val="left"/>
        <w:tblInd w:w="0" w:type="dxa"/>
        <w:tblW w:w="9392" w:type="dxa"/>
        <w:tblLook w:val="04A0" w:firstRow="1" w:lastRow="0" w:firstColumn="1" w:lastColumn="0" w:noHBand="0" w:noVBand="1"/>
      </w:tblPr>
      <w:tblGrid>
        <w:gridCol w:w="4644"/>
        <w:gridCol w:w="4748"/>
      </w:tblGrid>
      <w:tr>
        <w:trPr>
          <w:tblHeader w:val="0"/>
          <w:cantSplit w:val="0"/>
          <w:trHeight w:val="995" w:hRule="atLeast"/>
        </w:trPr>
        <w:tc>
          <w:tcPr>
            <w:tcW w:w="4644" w:type="dxa"/>
            <w:tcBorders>
              <w:top w:val="nil" w:sz="0" w:space="0" w:color="000000" tmln="20, 20, 20, 0, 0"/>
              <w:left w:val="nil" w:sz="0" w:space="0" w:color="000000" tmln="20, 20, 20, 0, 0"/>
              <w:bottom w:val="nil" w:sz="0" w:space="0" w:color="000000" tmln="20, 20, 20, 0, 0"/>
              <w:right w:val="nil" w:sz="0" w:space="0" w:color="000000" tmln="20, 20, 20, 0, 0"/>
            </w:tcBorders>
            <w:tmTcPr id="1696180305" protected="0"/>
          </w:tcPr>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t>Продавец:</w:t>
            </w:r>
          </w:p>
          <w:p>
            <w:pPr>
              <w:ind w:firstLine="567"/>
              <w:spacing/>
              <w:jc w:val="center"/>
              <w:tabs defTabSz="708">
                <w:tab w:val="left" w:pos="993" w:leader="none"/>
              </w:tabs>
              <w:rPr>
                <w:rFonts w:ascii="Times New Roman" w:hAnsi="Times New Roman" w:cs="Times New Roman"/>
                <w:b/>
                <w:sz w:val="20"/>
                <w:szCs w:val="20"/>
                <w:lang w:val="en-us"/>
              </w:rPr>
            </w:pPr>
            <w:r>
              <w:rPr>
                <w:rFonts w:ascii="Times New Roman" w:hAnsi="Times New Roman" w:cs="Times New Roman"/>
                <w:b/>
                <w:sz w:val="20"/>
                <w:szCs w:val="20"/>
                <w:lang w:val="en-us"/>
              </w:rPr>
              <w:t>ООО «Good Luck Future»</w:t>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w w:val="111"/>
                <w:sz w:val="20"/>
                <w:szCs w:val="20"/>
                <w:lang w:val="uz-Cyrl-uz"/>
              </w:rPr>
            </w:pPr>
            <w:r>
              <w:rPr>
                <w:rFonts w:ascii="Times New Roman" w:hAnsi="Times New Roman" w:cs="Times New Roman"/>
                <w:b/>
                <w:sz w:val="20"/>
                <w:szCs w:val="20"/>
                <w:lang w:val="uz-Cyrl-uz"/>
              </w:rPr>
              <w:t>____________________</w:t>
            </w:r>
            <w:r>
              <w:rPr>
                <w:rFonts w:ascii="Times New Roman" w:hAnsi="Times New Roman" w:cs="Times New Roman"/>
                <w:b/>
                <w:w w:val="111"/>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w w:val="111"/>
                <w:sz w:val="20"/>
                <w:szCs w:val="20"/>
                <w:lang w:val="uz-Cyrl-uz"/>
              </w:rPr>
              <w:t xml:space="preserve"> </w:t>
            </w:r>
            <w:r>
              <w:rPr>
                <w:rFonts w:ascii="Times New Roman" w:hAnsi="Times New Roman" w:cs="Times New Roman"/>
                <w:b/>
                <w:sz w:val="20"/>
                <w:szCs w:val="20"/>
                <w:lang w:val="uz-Cyrl-uz"/>
              </w:rPr>
            </w:r>
          </w:p>
        </w:tc>
        <w:tc>
          <w:tcPr>
            <w:tcW w:w="4748" w:type="dxa"/>
            <w:tcBorders>
              <w:top w:val="nil" w:sz="0" w:space="0" w:color="000000" tmln="20, 20, 20, 0, 0"/>
              <w:left w:val="nil" w:sz="0" w:space="0" w:color="000000" tmln="20, 20, 20, 0, 0"/>
              <w:bottom w:val="nil" w:sz="0" w:space="0" w:color="000000" tmln="20, 20, 20, 0, 0"/>
              <w:right w:val="nil" w:sz="0" w:space="0" w:color="000000" tmln="20, 20, 20, 0, 0"/>
            </w:tcBorders>
            <w:tmTcPr id="1696180305" protected="0"/>
          </w:tcPr>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t>Покупатель:</w:t>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en-us"/>
              </w:rPr>
            </w:pPr>
            <w:r>
              <w:rPr>
                <w:rFonts w:ascii="Times New Roman" w:hAnsi="Times New Roman" w:cs="Times New Roman"/>
                <w:b/>
                <w:sz w:val="20"/>
                <w:szCs w:val="20"/>
                <w:lang w:val="en-us"/>
              </w:rPr>
            </w:r>
          </w:p>
          <w:p>
            <w:pPr>
              <w:ind w:firstLine="567"/>
              <w:spacing/>
              <w:jc w:val="center"/>
              <w:tabs defTabSz="708">
                <w:tab w:val="left" w:pos="993" w:leader="none"/>
              </w:tabs>
              <w:rPr>
                <w:rFonts w:ascii="Times New Roman" w:hAnsi="Times New Roman" w:cs="Times New Roman"/>
                <w:sz w:val="20"/>
                <w:szCs w:val="20"/>
              </w:rPr>
            </w:pPr>
            <w:r>
              <w:rPr>
                <w:rFonts w:ascii="Times New Roman" w:hAnsi="Times New Roman" w:cs="Times New Roman"/>
                <w:b/>
                <w:sz w:val="20"/>
                <w:szCs w:val="20"/>
                <w:lang w:val="en-us"/>
              </w:rPr>
              <w:t>_____________________</w:t>
            </w:r>
            <w:r>
              <w:rPr>
                <w:rFonts w:ascii="Times New Roman" w:hAnsi="Times New Roman" w:cs="Times New Roman"/>
                <w:sz w:val="20"/>
                <w:szCs w:val="20"/>
              </w:rPr>
            </w:r>
          </w:p>
        </w:tc>
      </w:tr>
    </w:tbl>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spacing/>
        <w:jc w:val="center"/>
        <w:tabs defTabSz="708">
          <w:tab w:val="left" w:pos="3709" w:leader="none"/>
        </w:tabs>
        <w:rPr>
          <w:rFonts w:ascii="Times New Roman" w:hAnsi="Times New Roman" w:cs="Times New Roman"/>
          <w:b/>
          <w:sz w:val="20"/>
          <w:szCs w:val="20"/>
        </w:rPr>
      </w:pPr>
      <w:r/>
      <w:bookmarkStart w:id="21" w:name="_Hlk69147071"/>
      <w:bookmarkEnd w:id="21"/>
      <w:r/>
      <w:r>
        <w:rPr>
          <w:rFonts w:ascii="Times New Roman" w:hAnsi="Times New Roman" w:cs="Times New Roman"/>
          <w:b/>
          <w:sz w:val="20"/>
          <w:szCs w:val="20"/>
        </w:rPr>
        <w:t>Приложение №</w:t>
      </w:r>
      <w:r>
        <w:rPr>
          <w:rFonts w:ascii="Times New Roman" w:hAnsi="Times New Roman" w:cs="Times New Roman"/>
          <w:b/>
          <w:sz w:val="20"/>
          <w:szCs w:val="20"/>
        </w:rPr>
        <w:t>2</w:t>
      </w:r>
      <w:r>
        <w:rPr>
          <w:rFonts w:ascii="Times New Roman" w:hAnsi="Times New Roman" w:cs="Times New Roman"/>
          <w:b/>
          <w:sz w:val="20"/>
          <w:szCs w:val="20"/>
        </w:rPr>
      </w:r>
    </w:p>
    <w:p>
      <w:pPr>
        <w:pStyle w:val="para8"/>
        <w:spacing/>
        <w:jc w:val="center"/>
        <w:rPr>
          <w:rFonts w:ascii="Times New Roman" w:hAnsi="Times New Roman"/>
          <w:b/>
          <w:sz w:val="20"/>
        </w:rPr>
      </w:pPr>
      <w:r>
        <w:rPr>
          <w:rFonts w:ascii="Times New Roman" w:hAnsi="Times New Roman"/>
          <w:b/>
          <w:sz w:val="20"/>
        </w:rPr>
        <w:t xml:space="preserve">к </w:t>
      </w:r>
      <w:r>
        <w:rPr>
          <w:rFonts w:ascii="Times New Roman" w:hAnsi="Times New Roman"/>
          <w:b/>
          <w:bCs/>
          <w:iCs/>
          <w:sz w:val="20"/>
        </w:rPr>
        <w:t>Предварительному договору</w:t>
      </w: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t>№1/12  от «17» ноября 2021г.</w:t>
      </w:r>
    </w:p>
    <w:p>
      <w:pPr>
        <w:rPr>
          <w:rFonts w:ascii="Times New Roman" w:hAnsi="Times New Roman" w:cs="Times New Roman"/>
          <w:b/>
          <w:sz w:val="20"/>
          <w:szCs w:val="20"/>
        </w:rPr>
      </w:pPr>
      <w:r>
        <w:rPr>
          <w:rFonts w:ascii="Times New Roman" w:hAnsi="Times New Roman" w:cs="Times New Roman"/>
          <w:b/>
          <w:sz w:val="20"/>
          <w:szCs w:val="20"/>
        </w:rPr>
      </w:r>
    </w:p>
    <w:p>
      <w:pPr>
        <w:spacing/>
        <w:jc w:val="center"/>
        <w:rPr>
          <w:rFonts w:ascii="Times New Roman" w:hAnsi="Times New Roman" w:cs="Times New Roman"/>
          <w:b/>
          <w:color w:val="365f91"/>
          <w:sz w:val="20"/>
          <w:szCs w:val="20"/>
        </w:rPr>
      </w:pPr>
      <w:r>
        <w:rPr>
          <w:rFonts w:ascii="Times New Roman" w:hAnsi="Times New Roman" w:cs="Times New Roman"/>
          <w:b/>
          <w:color w:val="365f91"/>
          <w:sz w:val="20"/>
          <w:szCs w:val="20"/>
        </w:rPr>
        <w:t>Технические характеристики Объекта</w:t>
      </w:r>
    </w:p>
    <w:p>
      <w:pPr>
        <w:rPr>
          <w:rFonts w:ascii="Times New Roman" w:hAnsi="Times New Roman" w:cs="Times New Roman"/>
          <w:sz w:val="20"/>
          <w:szCs w:val="20"/>
        </w:rPr>
      </w:pPr>
      <w:r>
        <w:rPr>
          <w:rFonts w:ascii="Times New Roman" w:hAnsi="Times New Roman" w:cs="Times New Roman"/>
          <w:sz w:val="20"/>
          <w:szCs w:val="20"/>
        </w:rPr>
      </w:r>
    </w:p>
    <w:p>
      <w:pPr>
        <w:rPr>
          <w:rFonts w:ascii="Times New Roman" w:hAnsi="Times New Roman" w:cs="Times New Roman"/>
          <w:bCs/>
          <w:sz w:val="20"/>
          <w:szCs w:val="20"/>
        </w:rPr>
      </w:pPr>
      <w:r>
        <w:rPr>
          <w:rFonts w:ascii="Times New Roman" w:hAnsi="Times New Roman" w:cs="Times New Roman"/>
          <w:bCs/>
          <w:sz w:val="20"/>
          <w:szCs w:val="20"/>
        </w:rPr>
      </w:r>
    </w:p>
    <w:tbl>
      <w:tblPr>
        <w:tblStyle w:val="TableNormal"/>
        <w:name w:val="Таблица4"/>
        <w:tabOrder w:val="0"/>
        <w:jc w:val="center"/>
        <w:tblInd w:w="0" w:type="dxa"/>
        <w:tblW w:w="9780" w:type="dxa"/>
        <w:tblLook w:val="0600" w:firstRow="0" w:lastRow="0" w:firstColumn="0" w:lastColumn="0" w:noHBand="1" w:noVBand="1"/>
      </w:tblPr>
      <w:tblGrid>
        <w:gridCol w:w="2404"/>
        <w:gridCol w:w="1939"/>
        <w:gridCol w:w="1343"/>
        <w:gridCol w:w="1560"/>
        <w:gridCol w:w="2534"/>
      </w:tblGrid>
      <w:tr>
        <w:trPr>
          <w:tblHeader w:val="0"/>
          <w:cantSplit/>
          <w:trHeight w:val="1075" w:hRule="exact"/>
        </w:trPr>
        <w:tc>
          <w:tcPr>
            <w:tcW w:w="2404" w:type="dxa"/>
            <w:vAlign w:val="center"/>
            <w:shd w:val="none"/>
            <w:tcMar>
              <w:top w:w="0" w:type="dxa"/>
              <w:left w:w="40" w:type="dxa"/>
              <w:bottom w:w="0" w:type="dxa"/>
              <w:right w:w="40"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Объект</w:t>
            </w:r>
          </w:p>
        </w:tc>
        <w:tc>
          <w:tcPr>
            <w:tcW w:w="1939"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nil" w:sz="0" w:space="0" w:color="000000" tmln="20, 20, 20, 0, 0"/>
              <w:tl2br w:val="nil" w:sz="0" w:space="0" w:color="000000" tmln="20, 20, 20, 0, 0"/>
              <w:tr2bl w:val="nil" w:sz="0" w:space="0" w:color="000000" tmln="20, 20, 20, 0, 0"/>
            </w:tcBorders>
            <w:tmTcPr id="1696180305"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Подъезд</w:t>
            </w:r>
          </w:p>
        </w:tc>
        <w:tc>
          <w:tcPr>
            <w:tcW w:w="1343"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Этаж</w:t>
            </w:r>
          </w:p>
        </w:tc>
        <w:tc>
          <w:tcPr>
            <w:tcW w:w="1560"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 объекта</w:t>
            </w:r>
          </w:p>
        </w:tc>
        <w:tc>
          <w:tcPr>
            <w:tcW w:w="2534"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696180305"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r>
          </w:p>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Общая площадь объекта (кв.м.)</w:t>
            </w:r>
          </w:p>
        </w:tc>
      </w:tr>
      <w:tr>
        <w:trPr>
          <w:tblHeader w:val="0"/>
          <w:cantSplit/>
          <w:trHeight w:val="1012" w:hRule="exact"/>
        </w:trPr>
        <w:tc>
          <w:tcPr>
            <w:tcW w:w="2404" w:type="dxa"/>
            <w:vAlign w:val="center"/>
            <w:shd w:val="none"/>
            <w:tcMar>
              <w:top w:w="0" w:type="dxa"/>
              <w:left w:w="40" w:type="dxa"/>
              <w:bottom w:w="0" w:type="dxa"/>
              <w:right w:w="40"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r>
          </w:p>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ЖК «</w:t>
            </w:r>
            <w:r>
              <w:rPr>
                <w:rFonts w:ascii="Times New Roman" w:hAnsi="Times New Roman" w:cs="Times New Roman"/>
                <w:bCs/>
                <w:sz w:val="20"/>
                <w:szCs w:val="20"/>
                <w:lang w:val="en-us"/>
              </w:rPr>
              <w:t>Chilanzar Elite</w:t>
            </w:r>
            <w:r>
              <w:rPr>
                <w:rFonts w:ascii="Times New Roman" w:hAnsi="Times New Roman" w:cs="Times New Roman"/>
                <w:bCs/>
                <w:sz w:val="20"/>
                <w:szCs w:val="20"/>
              </w:rPr>
              <w:t>»</w:t>
            </w:r>
          </w:p>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r>
          </w:p>
        </w:tc>
        <w:tc>
          <w:tcPr>
            <w:tcW w:w="1939"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nil" w:sz="0" w:space="0" w:color="000000" tmln="20, 20, 20, 0, 0"/>
              <w:tl2br w:val="nil" w:sz="0" w:space="0" w:color="000000" tmln="20, 20, 20, 0, 0"/>
              <w:tr2bl w:val="nil" w:sz="0" w:space="0" w:color="000000" tmln="20, 20, 20, 0, 0"/>
            </w:tcBorders>
            <w:tmTcPr id="1696180305"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1</w:t>
            </w:r>
          </w:p>
        </w:tc>
        <w:tc>
          <w:tcPr>
            <w:tcW w:w="1343"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5</w:t>
            </w:r>
          </w:p>
        </w:tc>
        <w:tc>
          <w:tcPr>
            <w:tcW w:w="1560"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12</w:t>
            </w:r>
          </w:p>
        </w:tc>
        <w:tc>
          <w:tcPr>
            <w:tcW w:w="2534"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696180305"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73,61</w:t>
            </w:r>
          </w:p>
        </w:tc>
      </w:tr>
    </w:tbl>
    <w:p>
      <w:pPr>
        <w:rPr>
          <w:rFonts w:ascii="Times New Roman" w:hAnsi="Times New Roman" w:cs="Times New Roman"/>
          <w:bCs/>
          <w:sz w:val="20"/>
          <w:szCs w:val="20"/>
        </w:rPr>
      </w:pPr>
      <w:r>
        <w:rPr>
          <w:rFonts w:ascii="Times New Roman" w:hAnsi="Times New Roman" w:cs="Times New Roman"/>
          <w:bCs/>
          <w:sz w:val="20"/>
          <w:szCs w:val="20"/>
        </w:rPr>
      </w:r>
    </w:p>
    <w:tbl>
      <w:tblPr>
        <w:tblStyle w:val="TableNormal"/>
        <w:name w:val="Таблица5"/>
        <w:tabOrder w:val="0"/>
        <w:jc w:val="center"/>
        <w:tblInd w:w="0" w:type="dxa"/>
        <w:tblW w:w="9915" w:type="dxa"/>
        <w:tblLook w:val="0600" w:firstRow="0" w:lastRow="0" w:firstColumn="0" w:lastColumn="0" w:noHBand="1" w:noVBand="1"/>
      </w:tblPr>
      <w:tblGrid>
        <w:gridCol w:w="2405"/>
        <w:gridCol w:w="2267"/>
        <w:gridCol w:w="5243"/>
      </w:tblGrid>
      <w:tr>
        <w:trPr>
          <w:tblHeader w:val="0"/>
          <w:cantSplit w:val="0"/>
          <w:trHeight w:val="349"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ind w:left="-260"/>
              <w:spacing w:line="276" w:lineRule="auto"/>
              <w:jc w:val="center"/>
              <w:rPr>
                <w:rFonts w:ascii="Times New Roman" w:hAnsi="Times New Roman" w:cs="Times New Roman"/>
                <w:bCs/>
                <w:sz w:val="20"/>
                <w:szCs w:val="20"/>
              </w:rPr>
            </w:pPr>
            <w:r>
              <w:rPr>
                <w:rFonts w:ascii="Times New Roman" w:hAnsi="Times New Roman" w:cs="Times New Roman"/>
                <w:bCs/>
                <w:sz w:val="20"/>
                <w:szCs w:val="20"/>
              </w:rPr>
              <w:t>Раздел</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Характеристики</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Описание</w:t>
            </w:r>
          </w:p>
        </w:tc>
      </w:tr>
      <w:tr>
        <w:trPr>
          <w:tblHeader w:val="0"/>
          <w:cantSplit w:val="0"/>
          <w:trHeight w:val="649" w:hRule="atLeast"/>
        </w:trPr>
        <w:tc>
          <w:tcPr>
            <w:tcW w:w="2405" w:type="dxa"/>
            <w:vMerge w:val="restart"/>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Общестроительные характеристики</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Внутренние стены (материал)</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 xml:space="preserve">Кирпич </w:t>
            </w:r>
          </w:p>
        </w:tc>
      </w:tr>
      <w:tr>
        <w:trPr>
          <w:tblHeader w:val="0"/>
          <w:cantSplit w:val="0"/>
          <w:trHeight w:val="249"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Межстенные перегородки</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 xml:space="preserve">Кирпичная кладка согласно проекту </w:t>
            </w:r>
          </w:p>
        </w:tc>
      </w:tr>
      <w:tr>
        <w:trPr>
          <w:tblHeader w:val="0"/>
          <w:cantSplit w:val="0"/>
          <w:trHeight w:val="336"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Полы</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Стяжка</w:t>
            </w:r>
          </w:p>
        </w:tc>
      </w:tr>
      <w:tr>
        <w:trPr>
          <w:tblHeader w:val="0"/>
          <w:cantSplit w:val="0"/>
          <w:trHeight w:val="336"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 xml:space="preserve">Окна </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rPr>
                <w:rFonts w:ascii="Times New Roman" w:hAnsi="Times New Roman" w:cs="Times New Roman"/>
                <w:bCs/>
                <w:sz w:val="20"/>
                <w:szCs w:val="20"/>
              </w:rPr>
            </w:pPr>
            <w:r>
              <w:rPr>
                <w:rFonts w:ascii="Times New Roman" w:hAnsi="Times New Roman" w:cs="Times New Roman"/>
                <w:bCs/>
                <w:sz w:val="20"/>
                <w:szCs w:val="20"/>
              </w:rPr>
              <w:t>Стеклопакет (двойное остекление)</w:t>
            </w:r>
          </w:p>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Профиль металлопластик</w:t>
            </w:r>
          </w:p>
        </w:tc>
      </w:tr>
      <w:tr>
        <w:trPr>
          <w:tblHeader w:val="0"/>
          <w:cantSplit w:val="0"/>
          <w:trHeight w:val="660"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Входная дверь</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 xml:space="preserve">Металлическая дверь с замком  </w:t>
            </w:r>
          </w:p>
        </w:tc>
      </w:tr>
      <w:tr>
        <w:trPr>
          <w:tblHeader w:val="0"/>
          <w:cantSplit w:val="0"/>
          <w:trHeight w:val="521" w:hRule="atLeast"/>
        </w:trPr>
        <w:tc>
          <w:tcPr>
            <w:tcW w:w="2405"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Отопление и вентиляция</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Вид отопления</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Двухконтурный газовый котёл с трубной разводкой (холодная вода, газ)</w:t>
            </w:r>
          </w:p>
        </w:tc>
      </w:tr>
      <w:tr>
        <w:trPr>
          <w:tblHeader w:val="0"/>
          <w:cantSplit w:val="0"/>
          <w:trHeight w:val="306" w:hRule="atLeast"/>
        </w:trPr>
        <w:tc>
          <w:tcPr>
            <w:tcW w:w="2405" w:type="dxa"/>
            <w:vMerge w:val="restart"/>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Водоснабжение и канализация</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Водоснабжение</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Предусмотрена точка подключения, без разводки</w:t>
            </w:r>
          </w:p>
        </w:tc>
      </w:tr>
      <w:tr>
        <w:trPr>
          <w:tblHeader w:val="0"/>
          <w:cantSplit w:val="0"/>
          <w:trHeight w:val="291"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Канализация</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Предусмотрена точка подключения, без разводки</w:t>
            </w:r>
          </w:p>
        </w:tc>
      </w:tr>
      <w:tr>
        <w:trPr>
          <w:tblHeader w:val="0"/>
          <w:cantSplit w:val="0"/>
          <w:trHeight w:val="281"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Электрика</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lang w:val="kk-kz"/>
              </w:rPr>
              <w:t>Разводка освещения</w:t>
            </w:r>
            <w:r>
              <w:rPr>
                <w:rFonts w:ascii="Times New Roman" w:hAnsi="Times New Roman" w:cs="Times New Roman"/>
                <w:bCs/>
                <w:sz w:val="20"/>
                <w:szCs w:val="20"/>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Предусмотрена точка подключения, без разводки</w:t>
            </w:r>
          </w:p>
        </w:tc>
      </w:tr>
      <w:tr>
        <w:trPr>
          <w:tblHeader w:val="0"/>
          <w:cantSplit w:val="0"/>
          <w:trHeight w:val="382" w:hRule="atLeast"/>
        </w:trPr>
        <w:tc>
          <w:tcPr>
            <w:tcW w:w="2405" w:type="dxa"/>
            <w:vMerge w:val="restart"/>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rPr>
              <w:t>Слаботочные системы</w:t>
            </w:r>
            <w:r>
              <w:rPr>
                <w:rFonts w:ascii="Times New Roman" w:hAnsi="Times New Roman" w:cs="Times New Roman"/>
                <w:bCs/>
                <w:sz w:val="20"/>
                <w:szCs w:val="20"/>
                <w:lang w:val="kk-kz"/>
              </w:rPr>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lang w:val="kk-kz"/>
              </w:rPr>
              <w:t>Интернет</w:t>
            </w:r>
            <w:r>
              <w:rPr>
                <w:rFonts w:ascii="Times New Roman" w:hAnsi="Times New Roman" w:cs="Times New Roman"/>
                <w:bCs/>
                <w:sz w:val="20"/>
                <w:szCs w:val="20"/>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Предусмотрена точка подключения, без разводки</w:t>
            </w:r>
          </w:p>
        </w:tc>
      </w:tr>
      <w:tr>
        <w:trPr>
          <w:tblHeader w:val="0"/>
          <w:cantSplit w:val="0"/>
          <w:trHeight w:val="233"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lang w:val="kk-kz"/>
              </w:rPr>
              <w:t>Противопожарная система</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Тепловые пожарные извещатели</w:t>
            </w:r>
          </w:p>
        </w:tc>
      </w:tr>
      <w:tr>
        <w:trPr>
          <w:tblHeader w:val="0"/>
          <w:cantSplit w:val="0"/>
          <w:trHeight w:val="233" w:hRule="atLeast"/>
        </w:trPr>
        <w:tc>
          <w:tcPr>
            <w:tcW w:w="2405"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Грузоподъёмные средства</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rPr>
              <w:t>Лифтовое оборудование</w:t>
            </w:r>
            <w:r>
              <w:rPr>
                <w:rFonts w:ascii="Times New Roman" w:hAnsi="Times New Roman" w:cs="Times New Roman"/>
                <w:bCs/>
                <w:sz w:val="20"/>
                <w:szCs w:val="20"/>
                <w:lang w:val="kk-kz"/>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lang w:val="kk-kz"/>
              </w:rPr>
              <w:t>Пассажирский лифт</w:t>
            </w:r>
            <w:r>
              <w:rPr>
                <w:rFonts w:ascii="Times New Roman" w:hAnsi="Times New Roman" w:cs="Times New Roman"/>
                <w:bCs/>
                <w:sz w:val="20"/>
                <w:szCs w:val="20"/>
              </w:rPr>
            </w:r>
          </w:p>
        </w:tc>
      </w:tr>
      <w:tr>
        <w:trPr>
          <w:tblHeader w:val="0"/>
          <w:cantSplit w:val="0"/>
          <w:trHeight w:val="58"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Благоустройство</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Видеонаблюдение</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180305"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Дворовая территория, места общего пользования, паркинг</w:t>
            </w:r>
          </w:p>
        </w:tc>
      </w:tr>
    </w:tbl>
    <w:p>
      <w:pPr>
        <w:spacing/>
        <w:jc w:val="center"/>
        <w:rPr>
          <w:rFonts w:ascii="Times New Roman" w:hAnsi="Times New Roman" w:cs="Times New Roman"/>
          <w:b/>
          <w:sz w:val="20"/>
          <w:szCs w:val="20"/>
        </w:rPr>
      </w:pPr>
      <w:r>
        <w:rPr>
          <w:rFonts w:ascii="Times New Roman" w:hAnsi="Times New Roman" w:cs="Times New Roman"/>
          <w:b/>
          <w:sz w:val="20"/>
          <w:szCs w:val="20"/>
        </w:rPr>
      </w:r>
    </w:p>
    <w:tbl>
      <w:tblPr>
        <w:tblStyle w:val="TableGrid"/>
        <w:name w:val="Таблица6"/>
        <w:tabOrder w:val="0"/>
        <w:jc w:val="left"/>
        <w:tblInd w:w="108" w:type="dxa"/>
        <w:tblW w:w="9645" w:type="dxa"/>
        <w:tblLook w:val="04A0" w:firstRow="1" w:lastRow="0" w:firstColumn="1" w:lastColumn="0" w:noHBand="0" w:noVBand="1"/>
      </w:tblPr>
      <w:tblGrid>
        <w:gridCol w:w="4924"/>
        <w:gridCol w:w="4721"/>
      </w:tblGrid>
      <w:tr>
        <w:trPr>
          <w:tblHeader w:val="0"/>
          <w:cantSplit w:val="0"/>
          <w:trHeight w:val="66" w:hRule="atLeast"/>
        </w:trPr>
        <w:tc>
          <w:tcPr>
            <w:tcW w:w="4924" w:type="dxa"/>
            <w:tcBorders>
              <w:top w:val="nil" w:sz="0" w:space="0" w:color="000000" tmln="20, 20, 20, 0, 0"/>
              <w:left w:val="nil" w:sz="0" w:space="0" w:color="000000" tmln="20, 20, 20, 0, 0"/>
              <w:bottom w:val="nil" w:sz="0" w:space="0" w:color="000000" tmln="20, 20, 20, 0, 0"/>
              <w:right w:val="nil" w:sz="0" w:space="0" w:color="000000" tmln="20, 20, 20, 0, 0"/>
            </w:tcBorders>
            <w:tmTcPr id="1696180305" protected="0"/>
          </w:tcPr>
          <w:p>
            <w:pPr>
              <w:spacing/>
              <w:jc w:val="center"/>
              <w:rPr>
                <w:rFonts w:ascii="Times New Roman" w:hAnsi="Times New Roman" w:cs="Times New Roman"/>
                <w:b/>
                <w:sz w:val="20"/>
                <w:szCs w:val="20"/>
              </w:rPr>
            </w:pPr>
            <w:r>
              <w:rPr>
                <w:rFonts w:ascii="Times New Roman" w:hAnsi="Times New Roman" w:cs="Times New Roman"/>
                <w:b/>
                <w:sz w:val="20"/>
                <w:szCs w:val="20"/>
              </w:rPr>
            </w:r>
          </w:p>
          <w:p>
            <w:pPr>
              <w:spacing/>
              <w:jc w:val="center"/>
              <w:rPr>
                <w:rFonts w:ascii="Times New Roman" w:hAnsi="Times New Roman" w:cs="Times New Roman"/>
                <w:b/>
                <w:sz w:val="20"/>
                <w:szCs w:val="20"/>
              </w:rPr>
            </w:pPr>
            <w:r>
              <w:rPr>
                <w:rFonts w:ascii="Times New Roman" w:hAnsi="Times New Roman" w:cs="Times New Roman"/>
                <w:b/>
                <w:sz w:val="20"/>
                <w:szCs w:val="20"/>
              </w:rPr>
            </w:r>
          </w:p>
          <w:p>
            <w:pPr>
              <w:spacing/>
              <w:jc w:val="center"/>
              <w:rPr>
                <w:rFonts w:ascii="Times New Roman" w:hAnsi="Times New Roman" w:cs="Times New Roman"/>
                <w:b/>
                <w:sz w:val="20"/>
                <w:szCs w:val="20"/>
                <w:lang w:val="en-us"/>
              </w:rPr>
            </w:pPr>
            <w:r>
              <w:rPr>
                <w:rFonts w:ascii="Times New Roman" w:hAnsi="Times New Roman" w:cs="Times New Roman"/>
                <w:b/>
                <w:sz w:val="20"/>
                <w:szCs w:val="20"/>
              </w:rPr>
              <w:t>Продавец</w:t>
            </w: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rPr>
              <w:t>ООО</w:t>
            </w:r>
            <w:r>
              <w:rPr>
                <w:rFonts w:ascii="Times New Roman" w:hAnsi="Times New Roman" w:cs="Times New Roman"/>
                <w:b/>
                <w:sz w:val="20"/>
                <w:szCs w:val="20"/>
                <w:lang w:val="en-us"/>
              </w:rPr>
              <w:t xml:space="preserve"> «Good Luck Future»</w:t>
            </w: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lang w:val="en-us"/>
              </w:rPr>
              <w:t>________________________</w:t>
            </w:r>
          </w:p>
          <w:p>
            <w:pPr>
              <w:spacing/>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r>
          </w:p>
        </w:tc>
        <w:tc>
          <w:tcPr>
            <w:tcW w:w="4721" w:type="dxa"/>
            <w:tcBorders>
              <w:top w:val="nil" w:sz="0" w:space="0" w:color="000000" tmln="20, 20, 20, 0, 0"/>
              <w:left w:val="nil" w:sz="0" w:space="0" w:color="000000" tmln="20, 20, 20, 0, 0"/>
              <w:bottom w:val="nil" w:sz="0" w:space="0" w:color="000000" tmln="20, 20, 20, 0, 0"/>
              <w:right w:val="nil" w:sz="0" w:space="0" w:color="000000" tmln="20, 20, 20, 0, 0"/>
            </w:tcBorders>
            <w:tmTcPr id="1696180305" protected="0"/>
          </w:tcPr>
          <w:p>
            <w:pPr>
              <w:spacing/>
              <w:jc w:val="center"/>
              <w:rPr>
                <w:rFonts w:ascii="Times New Roman" w:hAnsi="Times New Roman" w:cs="Times New Roman"/>
                <w:b/>
                <w:sz w:val="20"/>
                <w:szCs w:val="20"/>
              </w:rPr>
            </w:pPr>
            <w:r>
              <w:rPr>
                <w:rFonts w:ascii="Times New Roman" w:hAnsi="Times New Roman" w:cs="Times New Roman"/>
                <w:b/>
                <w:sz w:val="20"/>
                <w:szCs w:val="20"/>
              </w:rPr>
            </w:r>
          </w:p>
          <w:p>
            <w:pPr>
              <w:spacing/>
              <w:jc w:val="center"/>
              <w:rPr>
                <w:rFonts w:ascii="Times New Roman" w:hAnsi="Times New Roman" w:cs="Times New Roman"/>
                <w:b/>
                <w:sz w:val="20"/>
                <w:szCs w:val="20"/>
              </w:rPr>
            </w:pPr>
            <w:r>
              <w:rPr>
                <w:rFonts w:ascii="Times New Roman" w:hAnsi="Times New Roman" w:cs="Times New Roman"/>
                <w:b/>
                <w:sz w:val="20"/>
                <w:szCs w:val="20"/>
              </w:rPr>
            </w:r>
          </w:p>
          <w:p>
            <w:pPr>
              <w:spacing/>
              <w:jc w:val="center"/>
              <w:rPr>
                <w:rFonts w:ascii="Times New Roman" w:hAnsi="Times New Roman" w:cs="Times New Roman"/>
                <w:b/>
                <w:sz w:val="20"/>
                <w:szCs w:val="20"/>
              </w:rPr>
            </w:pPr>
            <w:r>
              <w:rPr>
                <w:rFonts w:ascii="Times New Roman" w:hAnsi="Times New Roman" w:cs="Times New Roman"/>
                <w:b/>
                <w:sz w:val="20"/>
                <w:szCs w:val="20"/>
              </w:rPr>
              <w:t>Покупатель</w:t>
            </w:r>
          </w:p>
          <w:p>
            <w:pPr>
              <w:pStyle w:val="para4"/>
              <w:ind w:left="0"/>
              <w:tabs defTabSz="708">
                <w:tab w:val="left" w:pos="993" w:leader="none"/>
              </w:tabs>
              <w:rPr>
                <w:sz w:val="20"/>
                <w:szCs w:val="20"/>
                <w:lang w:val="en-us"/>
              </w:rPr>
            </w:pPr>
            <w:r>
              <w:rPr>
                <w:sz w:val="20"/>
                <w:szCs w:val="20"/>
                <w:lang w:val="en-us"/>
              </w:rPr>
            </w:r>
          </w:p>
          <w:p>
            <w:pPr>
              <w:pStyle w:val="para4"/>
              <w:ind w:left="0"/>
              <w:tabs defTabSz="708">
                <w:tab w:val="left" w:pos="993" w:leader="none"/>
              </w:tabs>
              <w:rPr>
                <w:sz w:val="20"/>
                <w:szCs w:val="20"/>
                <w:lang w:val="en-us"/>
              </w:rPr>
            </w:pPr>
            <w:r>
              <w:rPr>
                <w:sz w:val="20"/>
                <w:szCs w:val="20"/>
                <w:lang w:val="en-us"/>
              </w:rPr>
            </w:r>
          </w:p>
          <w:p>
            <w:pPr>
              <w:pStyle w:val="para4"/>
              <w:ind w:left="0"/>
              <w:tabs defTabSz="708">
                <w:tab w:val="left" w:pos="993" w:leader="none"/>
              </w:tabs>
              <w:rPr>
                <w:sz w:val="20"/>
                <w:szCs w:val="20"/>
                <w:lang w:val="en-us"/>
              </w:rPr>
            </w:pPr>
            <w:r>
              <w:rPr>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rPr>
              <w:t>________________________</w:t>
            </w:r>
            <w:r>
              <w:rPr>
                <w:rFonts w:ascii="Times New Roman" w:hAnsi="Times New Roman" w:cs="Times New Roman"/>
                <w:b/>
                <w:sz w:val="20"/>
                <w:szCs w:val="20"/>
                <w:lang w:val="en-us"/>
              </w:rPr>
            </w:r>
          </w:p>
          <w:p>
            <w:pPr>
              <w:pStyle w:val="para4"/>
              <w:ind w:left="0"/>
              <w:spacing/>
              <w:jc w:val="center"/>
              <w:tabs defTabSz="708">
                <w:tab w:val="left" w:pos="993" w:leader="none"/>
              </w:tabs>
              <w:rPr>
                <w:b/>
                <w:bCs/>
                <w:sz w:val="20"/>
                <w:szCs w:val="20"/>
              </w:rPr>
            </w:pPr>
            <w:r>
              <w:rPr>
                <w:b/>
                <w:bCs/>
                <w:sz w:val="20"/>
                <w:szCs w:val="20"/>
              </w:rPr>
            </w:r>
          </w:p>
        </w:tc>
      </w:tr>
    </w:tbl>
    <w:p>
      <w:pPr>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t>Приложение №3</w:t>
      </w:r>
    </w:p>
    <w:p>
      <w:pPr>
        <w:pStyle w:val="para8"/>
        <w:spacing/>
        <w:jc w:val="center"/>
        <w:rPr>
          <w:rFonts w:ascii="Times New Roman" w:hAnsi="Times New Roman"/>
          <w:b/>
          <w:sz w:val="20"/>
        </w:rPr>
      </w:pPr>
      <w:r>
        <w:rPr>
          <w:rFonts w:ascii="Times New Roman" w:hAnsi="Times New Roman"/>
          <w:b/>
          <w:sz w:val="20"/>
        </w:rPr>
        <w:t xml:space="preserve">к </w:t>
      </w:r>
      <w:r>
        <w:rPr>
          <w:rFonts w:ascii="Times New Roman" w:hAnsi="Times New Roman"/>
          <w:b/>
          <w:bCs/>
          <w:iCs/>
          <w:sz w:val="20"/>
        </w:rPr>
        <w:t>Предварительному договору</w:t>
      </w: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t>№1/12</w:t>
        <w:tab/>
        <w:t xml:space="preserve"> от «17» ноября 2021г.</w:t>
      </w:r>
    </w:p>
    <w:p>
      <w:pPr>
        <w:pStyle w:val="para8"/>
        <w:spacing/>
        <w:jc w:val="center"/>
        <w:rPr>
          <w:rFonts w:ascii="Times New Roman" w:hAnsi="Times New Roman"/>
          <w:b/>
          <w:sz w:val="20"/>
        </w:rPr>
      </w:pP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r>
    </w:p>
    <w:p>
      <w:pPr>
        <w:spacing/>
        <w:jc w:val="center"/>
        <w:rPr>
          <w:rFonts w:ascii="Times New Roman" w:hAnsi="Times New Roman" w:cs="Times New Roman"/>
          <w:b/>
          <w:color w:val="365f91"/>
          <w:sz w:val="20"/>
          <w:szCs w:val="20"/>
        </w:rPr>
      </w:pPr>
      <w:r>
        <w:rPr>
          <w:rFonts w:ascii="Times New Roman" w:hAnsi="Times New Roman" w:cs="Times New Roman"/>
          <w:b/>
          <w:color w:val="365f91"/>
          <w:sz w:val="20"/>
          <w:szCs w:val="20"/>
        </w:rPr>
        <w:t>Гарантия качества на отдельные конструктивные элементы и оборудования Объекта</w:t>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tbl>
      <w:tblPr>
        <w:tblStyle w:val="TableGrid"/>
        <w:name w:val="Таблица7"/>
        <w:tabOrder w:val="0"/>
        <w:jc w:val="left"/>
        <w:tblInd w:w="108" w:type="dxa"/>
        <w:tblW w:w="9379" w:type="dxa"/>
        <w:tblLook w:val="04A0" w:firstRow="1" w:lastRow="0" w:firstColumn="1" w:lastColumn="0" w:noHBand="0" w:noVBand="1"/>
      </w:tblPr>
      <w:tblGrid>
        <w:gridCol w:w="873"/>
        <w:gridCol w:w="5175"/>
        <w:gridCol w:w="3331"/>
      </w:tblGrid>
      <w:tr>
        <w:trPr>
          <w:tblHeader w:val="0"/>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180305"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 п/п</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180305"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Виды работ и конструктивных элементов</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180305"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Срок гарантии</w:t>
            </w:r>
          </w:p>
        </w:tc>
      </w:tr>
      <w:tr>
        <w:trPr>
          <w:tblHeader w:val="0"/>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180305" protected="0"/>
          </w:tcPr>
          <w:p>
            <w:pPr>
              <w:spacing/>
              <w:jc w:val="center"/>
              <w:rPr>
                <w:rFonts w:ascii="Times New Roman" w:hAnsi="Times New Roman" w:cs="Times New Roman"/>
                <w:sz w:val="20"/>
                <w:szCs w:val="20"/>
              </w:rPr>
            </w:pPr>
            <w:r>
              <w:rPr>
                <w:rFonts w:ascii="Times New Roman" w:hAnsi="Times New Roman" w:cs="Times New Roman"/>
                <w:sz w:val="20"/>
                <w:szCs w:val="20"/>
              </w:rPr>
              <w:t>1</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180305" protected="0"/>
          </w:tcPr>
          <w:p>
            <w:pPr>
              <w:rPr>
                <w:rFonts w:ascii="Times New Roman" w:hAnsi="Times New Roman" w:cs="Times New Roman"/>
                <w:sz w:val="20"/>
                <w:szCs w:val="20"/>
              </w:rPr>
            </w:pPr>
            <w:r>
              <w:rPr>
                <w:rFonts w:ascii="Times New Roman" w:hAnsi="Times New Roman" w:cs="Times New Roman"/>
                <w:sz w:val="20"/>
                <w:szCs w:val="20"/>
              </w:rPr>
              <w:t xml:space="preserve">Металлическая входная дверь в квартиру  </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180305" protected="0"/>
          </w:tcPr>
          <w:p>
            <w:pPr>
              <w:spacing/>
              <w:jc w:val="center"/>
              <w:rPr>
                <w:rFonts w:ascii="Times New Roman" w:hAnsi="Times New Roman" w:cs="Times New Roman"/>
                <w:sz w:val="20"/>
                <w:szCs w:val="20"/>
              </w:rPr>
            </w:pPr>
            <w:r>
              <w:rPr>
                <w:rFonts w:ascii="Times New Roman" w:hAnsi="Times New Roman" w:cs="Times New Roman"/>
                <w:sz w:val="20"/>
                <w:szCs w:val="20"/>
              </w:rPr>
              <w:t>12 месяцев</w:t>
            </w:r>
          </w:p>
        </w:tc>
      </w:tr>
      <w:tr>
        <w:trPr>
          <w:tblHeader w:val="0"/>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180305" protected="0"/>
          </w:tcPr>
          <w:p>
            <w:pPr>
              <w:spacing/>
              <w:jc w:val="center"/>
              <w:rPr>
                <w:rFonts w:ascii="Times New Roman" w:hAnsi="Times New Roman" w:cs="Times New Roman"/>
                <w:sz w:val="20"/>
                <w:szCs w:val="20"/>
              </w:rPr>
            </w:pPr>
            <w:r>
              <w:rPr>
                <w:rFonts w:ascii="Times New Roman" w:hAnsi="Times New Roman" w:cs="Times New Roman"/>
                <w:sz w:val="20"/>
                <w:szCs w:val="20"/>
              </w:rPr>
              <w:t>2</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180305" protected="0"/>
          </w:tcPr>
          <w:p>
            <w:pPr>
              <w:rPr>
                <w:rFonts w:ascii="Times New Roman" w:hAnsi="Times New Roman" w:cs="Times New Roman"/>
                <w:sz w:val="20"/>
                <w:szCs w:val="20"/>
              </w:rPr>
            </w:pPr>
            <w:r>
              <w:rPr>
                <w:rFonts w:ascii="Times New Roman" w:hAnsi="Times New Roman" w:cs="Times New Roman"/>
                <w:sz w:val="20"/>
                <w:szCs w:val="20"/>
              </w:rPr>
              <w:t>Двухкамерный стеклопакет (двойное остекление)</w:t>
            </w:r>
          </w:p>
          <w:p>
            <w:pPr>
              <w:spacing/>
              <w:jc w:val="left"/>
              <w:rPr>
                <w:rFonts w:ascii="Times New Roman" w:hAnsi="Times New Roman" w:cs="Times New Roman"/>
                <w:sz w:val="20"/>
                <w:szCs w:val="20"/>
              </w:rPr>
            </w:pPr>
            <w:r>
              <w:rPr>
                <w:rFonts w:ascii="Times New Roman" w:hAnsi="Times New Roman" w:cs="Times New Roman"/>
                <w:sz w:val="20"/>
                <w:szCs w:val="20"/>
              </w:rPr>
              <w:t>Профиль металлопластик</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180305" protected="0"/>
          </w:tcPr>
          <w:p>
            <w:pPr>
              <w:spacing/>
              <w:jc w:val="center"/>
              <w:rPr>
                <w:rFonts w:ascii="Times New Roman" w:hAnsi="Times New Roman" w:cs="Times New Roman"/>
                <w:sz w:val="20"/>
                <w:szCs w:val="20"/>
              </w:rPr>
            </w:pPr>
            <w:r>
              <w:rPr>
                <w:rFonts w:ascii="Times New Roman" w:hAnsi="Times New Roman" w:cs="Times New Roman"/>
                <w:sz w:val="20"/>
                <w:szCs w:val="20"/>
              </w:rPr>
              <w:t>12 месяцев</w:t>
            </w:r>
          </w:p>
        </w:tc>
      </w:tr>
      <w:tr>
        <w:trPr>
          <w:tblHeader w:val="0"/>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180305" protected="0"/>
          </w:tcPr>
          <w:p>
            <w:pPr>
              <w:spacing/>
              <w:jc w:val="center"/>
              <w:rPr>
                <w:rFonts w:ascii="Times New Roman" w:hAnsi="Times New Roman" w:cs="Times New Roman"/>
                <w:sz w:val="20"/>
                <w:szCs w:val="20"/>
              </w:rPr>
            </w:pPr>
            <w:r>
              <w:rPr>
                <w:rFonts w:ascii="Times New Roman" w:hAnsi="Times New Roman" w:cs="Times New Roman"/>
                <w:sz w:val="20"/>
                <w:szCs w:val="20"/>
              </w:rPr>
              <w:t>3</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180305" protected="0"/>
          </w:tcPr>
          <w:p>
            <w:pPr>
              <w:rPr>
                <w:rFonts w:ascii="Times New Roman" w:hAnsi="Times New Roman" w:cs="Times New Roman"/>
                <w:sz w:val="20"/>
                <w:szCs w:val="20"/>
              </w:rPr>
            </w:pPr>
            <w:r>
              <w:rPr>
                <w:rFonts w:ascii="Times New Roman" w:hAnsi="Times New Roman" w:cs="Times New Roman"/>
                <w:sz w:val="20"/>
                <w:szCs w:val="20"/>
              </w:rPr>
              <w:t>Газовый водогрейный котел 2-х контурный</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180305" protected="0"/>
          </w:tcPr>
          <w:p>
            <w:pPr>
              <w:spacing/>
              <w:jc w:val="center"/>
              <w:rPr>
                <w:rFonts w:ascii="Times New Roman" w:hAnsi="Times New Roman" w:cs="Times New Roman"/>
                <w:sz w:val="20"/>
                <w:szCs w:val="20"/>
              </w:rPr>
            </w:pPr>
            <w:r>
              <w:rPr>
                <w:rFonts w:ascii="Times New Roman" w:hAnsi="Times New Roman" w:cs="Times New Roman"/>
                <w:sz w:val="20"/>
                <w:szCs w:val="20"/>
              </w:rPr>
              <w:t>12 месяцев</w:t>
            </w:r>
          </w:p>
        </w:tc>
      </w:tr>
    </w:tbl>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Примечание: настоящие гарантии на указанные конструктивы и оборудование действуют при условии их надлежащей технической эксплуатации. </w:t>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tbl>
      <w:tblPr>
        <w:tblStyle w:val="TableGrid"/>
        <w:name w:val="Таблица8"/>
        <w:tabOrder w:val="0"/>
        <w:jc w:val="left"/>
        <w:tblInd w:w="108" w:type="dxa"/>
        <w:tblW w:w="9389" w:type="dxa"/>
        <w:tblLook w:val="04A0" w:firstRow="1" w:lastRow="0" w:firstColumn="1" w:lastColumn="0" w:noHBand="0" w:noVBand="1"/>
      </w:tblPr>
      <w:tblGrid>
        <w:gridCol w:w="4793"/>
        <w:gridCol w:w="4596"/>
      </w:tblGrid>
      <w:tr>
        <w:trPr>
          <w:tblHeader w:val="0"/>
          <w:cantSplit w:val="0"/>
          <w:trHeight w:val="0" w:hRule="auto"/>
        </w:trPr>
        <w:tc>
          <w:tcPr>
            <w:tcW w:w="4793" w:type="dxa"/>
            <w:tcBorders>
              <w:top w:val="nil" w:sz="0" w:space="0" w:color="000000" tmln="20, 20, 20, 0, 0"/>
              <w:left w:val="nil" w:sz="0" w:space="0" w:color="000000" tmln="20, 20, 20, 0, 0"/>
              <w:bottom w:val="nil" w:sz="0" w:space="0" w:color="000000" tmln="20, 20, 20, 0, 0"/>
              <w:right w:val="nil" w:sz="0" w:space="0" w:color="000000" tmln="20, 20, 20, 0, 0"/>
            </w:tcBorders>
            <w:tmTcPr id="1696180305" protected="0"/>
          </w:tcPr>
          <w:p>
            <w:pPr>
              <w:spacing/>
              <w:jc w:val="center"/>
              <w:rPr>
                <w:rFonts w:ascii="Times New Roman" w:hAnsi="Times New Roman" w:cs="Times New Roman"/>
                <w:b/>
                <w:sz w:val="20"/>
                <w:szCs w:val="20"/>
                <w:lang w:val="en-us"/>
              </w:rPr>
            </w:pPr>
            <w:r>
              <w:rPr>
                <w:rFonts w:ascii="Times New Roman" w:hAnsi="Times New Roman" w:cs="Times New Roman"/>
                <w:b/>
                <w:sz w:val="20"/>
                <w:szCs w:val="20"/>
              </w:rPr>
              <w:t>Продавец</w:t>
            </w: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rPr>
              <w:t>ООО</w:t>
            </w:r>
            <w:r>
              <w:rPr>
                <w:rFonts w:ascii="Times New Roman" w:hAnsi="Times New Roman" w:cs="Times New Roman"/>
                <w:b/>
                <w:sz w:val="20"/>
                <w:szCs w:val="20"/>
                <w:lang w:val="en-us"/>
              </w:rPr>
              <w:t xml:space="preserve"> «Good Luck Future»</w:t>
            </w: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lang w:val="en-us"/>
              </w:rPr>
            </w:r>
          </w:p>
          <w:p>
            <w:pPr>
              <w:spacing/>
              <w:jc w:val="center"/>
              <w:rPr>
                <w:rFonts w:ascii="Times New Roman" w:hAnsi="Times New Roman" w:cs="Times New Roman"/>
                <w:bCs/>
                <w:sz w:val="20"/>
                <w:szCs w:val="20"/>
                <w:lang w:val="en-us"/>
              </w:rPr>
            </w:pPr>
            <w:r>
              <w:rPr>
                <w:rFonts w:ascii="Times New Roman" w:hAnsi="Times New Roman" w:cs="Times New Roman"/>
                <w:bCs/>
                <w:sz w:val="20"/>
                <w:szCs w:val="20"/>
              </w:rPr>
              <w:t>________________________</w:t>
            </w:r>
            <w:r>
              <w:rPr>
                <w:rFonts w:ascii="Times New Roman" w:hAnsi="Times New Roman" w:cs="Times New Roman"/>
                <w:bCs/>
                <w:sz w:val="20"/>
                <w:szCs w:val="20"/>
                <w:lang w:val="en-us"/>
              </w:rPr>
            </w:r>
          </w:p>
          <w:p>
            <w:pPr>
              <w:spacing/>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r>
          </w:p>
        </w:tc>
        <w:tc>
          <w:tcPr>
            <w:tcW w:w="4596" w:type="dxa"/>
            <w:tcBorders>
              <w:top w:val="nil" w:sz="0" w:space="0" w:color="000000" tmln="20, 20, 20, 0, 0"/>
              <w:left w:val="nil" w:sz="0" w:space="0" w:color="000000" tmln="20, 20, 20, 0, 0"/>
              <w:bottom w:val="nil" w:sz="0" w:space="0" w:color="000000" tmln="20, 20, 20, 0, 0"/>
              <w:right w:val="nil" w:sz="0" w:space="0" w:color="000000" tmln="20, 20, 20, 0, 0"/>
            </w:tcBorders>
            <w:tmTcPr id="1696180305" protected="0"/>
          </w:tcPr>
          <w:p>
            <w:pPr>
              <w:spacing/>
              <w:jc w:val="center"/>
              <w:rPr>
                <w:rFonts w:ascii="Times New Roman" w:hAnsi="Times New Roman" w:cs="Times New Roman"/>
                <w:b/>
                <w:sz w:val="20"/>
                <w:szCs w:val="20"/>
              </w:rPr>
            </w:pPr>
            <w:r>
              <w:rPr>
                <w:rFonts w:ascii="Times New Roman" w:hAnsi="Times New Roman" w:cs="Times New Roman"/>
                <w:b/>
                <w:sz w:val="20"/>
                <w:szCs w:val="20"/>
                <w:lang w:val="en-us"/>
              </w:rPr>
              <w:t xml:space="preserve"> </w:t>
            </w:r>
            <w:r>
              <w:rPr>
                <w:rFonts w:ascii="Times New Roman" w:hAnsi="Times New Roman" w:cs="Times New Roman"/>
                <w:b/>
                <w:sz w:val="20"/>
                <w:szCs w:val="20"/>
              </w:rPr>
              <w:t>Покупатель</w:t>
            </w:r>
          </w:p>
          <w:p>
            <w:pPr>
              <w:pStyle w:val="para4"/>
              <w:ind w:left="0"/>
              <w:tabs defTabSz="708">
                <w:tab w:val="left" w:pos="993" w:leader="none"/>
              </w:tabs>
              <w:rPr>
                <w:sz w:val="20"/>
                <w:szCs w:val="20"/>
              </w:rPr>
            </w:pPr>
            <w:r>
              <w:rPr>
                <w:sz w:val="20"/>
                <w:szCs w:val="20"/>
              </w:rPr>
            </w:r>
          </w:p>
          <w:p>
            <w:pPr>
              <w:pStyle w:val="para4"/>
              <w:ind w:left="0"/>
              <w:tabs defTabSz="708">
                <w:tab w:val="left" w:pos="993" w:leader="none"/>
              </w:tabs>
              <w:rPr>
                <w:sz w:val="20"/>
                <w:szCs w:val="20"/>
                <w:lang w:val="en-us"/>
              </w:rPr>
            </w:pPr>
            <w:r>
              <w:rPr>
                <w:sz w:val="20"/>
                <w:szCs w:val="20"/>
                <w:lang w:val="en-us"/>
              </w:rPr>
            </w:r>
          </w:p>
          <w:p>
            <w:pPr>
              <w:pStyle w:val="para4"/>
              <w:ind w:left="0"/>
              <w:tabs defTabSz="708">
                <w:tab w:val="left" w:pos="993" w:leader="none"/>
              </w:tabs>
              <w:rPr>
                <w:sz w:val="20"/>
                <w:szCs w:val="20"/>
                <w:lang w:val="en-us"/>
              </w:rPr>
            </w:pPr>
            <w:r>
              <w:rPr>
                <w:sz w:val="20"/>
                <w:szCs w:val="20"/>
                <w:lang w:val="en-us"/>
              </w:rPr>
            </w:r>
          </w:p>
          <w:p>
            <w:pPr>
              <w:spacing/>
              <w:jc w:val="center"/>
              <w:rPr>
                <w:rFonts w:ascii="Times New Roman" w:hAnsi="Times New Roman" w:cs="Times New Roman"/>
                <w:bCs/>
                <w:sz w:val="20"/>
                <w:szCs w:val="20"/>
                <w:lang w:val="en-us"/>
              </w:rPr>
            </w:pPr>
            <w:r>
              <w:rPr>
                <w:rFonts w:ascii="Times New Roman" w:hAnsi="Times New Roman" w:cs="Times New Roman"/>
                <w:bCs/>
                <w:sz w:val="20"/>
                <w:szCs w:val="20"/>
              </w:rPr>
              <w:t>________________________</w:t>
            </w:r>
            <w:r>
              <w:rPr>
                <w:rFonts w:ascii="Times New Roman" w:hAnsi="Times New Roman" w:cs="Times New Roman"/>
                <w:bCs/>
                <w:sz w:val="20"/>
                <w:szCs w:val="20"/>
                <w:lang w:val="en-us"/>
              </w:rPr>
            </w:r>
          </w:p>
          <w:p>
            <w:pPr>
              <w:pStyle w:val="para4"/>
              <w:ind w:left="0"/>
              <w:spacing/>
              <w:jc w:val="center"/>
              <w:tabs defTabSz="708">
                <w:tab w:val="left" w:pos="993" w:leader="none"/>
              </w:tabs>
              <w:rPr>
                <w:b/>
                <w:bCs/>
                <w:sz w:val="20"/>
                <w:szCs w:val="20"/>
              </w:rPr>
            </w:pPr>
            <w:r>
              <w:rPr>
                <w:b/>
                <w:bCs/>
                <w:sz w:val="20"/>
                <w:szCs w:val="20"/>
              </w:rPr>
            </w:r>
          </w:p>
        </w:tc>
      </w:tr>
    </w:tbl>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bookmarkStart w:id="22" w:name="_GoBack"/>
      <w:bookmarkEnd w:id="22"/>
      <w:r/>
      <w:r>
        <w:rPr>
          <w:rFonts w:ascii="Times New Roman" w:hAnsi="Times New Roman"/>
          <w:sz w:val="20"/>
          <w:szCs w:val="20"/>
        </w:rPr>
        <w:t>{/apartment}</w:t>
      </w:r>
      <w:r>
        <w:rPr>
          <w:rFonts w:ascii="Times New Roman" w:hAnsi="Times New Roman"/>
          <w:sz w:val="20"/>
          <w:szCs w:val="20"/>
        </w:rPr>
      </w:r>
    </w:p>
    <w:sectPr>
      <w:footnotePr>
        <w:pos w:val="pageBottom"/>
        <w:numFmt w:val="decimal"/>
        <w:numStart w:val="1"/>
        <w:numRestart w:val="continuous"/>
      </w:footnotePr>
      <w:endnotePr>
        <w:pos w:val="docEnd"/>
        <w:numFmt w:val="decimal"/>
        <w:numStart w:val="1"/>
        <w:numRestart w:val="continuous"/>
      </w:endnotePr>
      <w:footerReference w:type="default" r:id="rId8"/>
      <w:type w:val="nextPage"/>
      <w:pgSz w:h="16838" w:w="11906"/>
      <w:pgMar w:left="1418" w:top="567" w:right="991" w:bottom="851" w:header="0" w:footer="709"/>
      <w:paperSrc w:first="0" w:other="0" a="0" b="0"/>
      <w:pgNumType w:fmt="decimal"/>
      <w:tmGutter w:val="3"/>
      <w:mirrorMargins w:val="0"/>
      <w:tmSection w:h="-2">
        <w:tmFooter w:id="0" w:h="0" edge="709"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mbria">
    <w:panose1 w:val="02040503050406030204"/>
    <w:charset w:val="00"/>
    <w:family w:val="roman"/>
    <w:pitch w:val="default"/>
  </w:font>
  <w:font w:name="Calibri">
    <w:panose1 w:val="020F0502020204030204"/>
    <w:charset w:val="00"/>
    <w:family w:val="swiss"/>
    <w:pitch w:val="default"/>
  </w:font>
  <w:font w:name="Tahoma">
    <w:panose1 w:val="020B0604030504040204"/>
    <w:charset w:val="cc"/>
    <w:family w:val="swiss"/>
    <w:pitch w:val="default"/>
  </w:font>
  <w:font w:name="Bookman Old Style">
    <w:panose1 w:val="02020603050405020304"/>
    <w:charset w:val="cc"/>
    <w:family w:val="roman"/>
    <w:pitch w:val="default"/>
  </w:font>
  <w:font w:name="JetBrains Mono">
    <w:panose1 w:val="02000009000000000000"/>
    <w:charset w:val="cc"/>
    <w:family w:val="moder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7"/>
      <w:spacing/>
      <w:jc w:val="center"/>
      <w:rPr>
        <w:rFonts w:ascii="Times New Roman" w:hAnsi="Times New Roman" w:cs="Times New Roman"/>
        <w:sz w:val="20"/>
        <w:szCs w:val="20"/>
      </w:rPr>
    </w:pPr>
    <w:r>
      <w:rPr>
        <w:rFonts w:ascii="Times New Roman" w:hAnsi="Times New Roman" w:cs="Times New Roman"/>
        <w:sz w:val="20"/>
        <w:szCs w:val="20"/>
      </w:rPr>
      <w:t xml:space="preserve">Страница </w:t>
    </w:r>
    <w:r>
      <w:rPr>
        <w:rFonts w:ascii="Times New Roman" w:hAnsi="Times New Roman" w:cs="Times New Roman"/>
        <w:b/>
        <w:bCs/>
        <w:sz w:val="20"/>
        <w:szCs w:val="20"/>
      </w:rPr>
    </w:r>
    <w:r>
      <w:rPr>
        <w:rFonts w:ascii="Times New Roman" w:hAnsi="Times New Roman" w:cs="Times New Roman"/>
        <w:b/>
        <w:bCs/>
        <w:sz w:val="20"/>
        <w:szCs w:val="20"/>
      </w:rPr>
      <w:fldChar w:fldCharType="begin"/>
      <w:instrText xml:space="preserve"> PAGE </w:instrText>
      <w:fldChar w:fldCharType="separate"/>
      <w:t>1</w:t>
      <w:fldChar w:fldCharType="end"/>
    </w:r>
    <w:r>
      <w:rPr>
        <w:rFonts w:ascii="Times New Roman" w:hAnsi="Times New Roman" w:cs="Times New Roman"/>
        <w:sz w:val="20"/>
        <w:szCs w:val="20"/>
      </w:rPr>
      <w:t xml:space="preserve"> из </w:t>
    </w:r>
    <w:r>
      <w:rPr>
        <w:rFonts w:ascii="Times New Roman" w:hAnsi="Times New Roman" w:cs="Times New Roman"/>
        <w:b/>
        <w:bCs/>
        <w:sz w:val="20"/>
        <w:szCs w:val="20"/>
      </w:rPr>
    </w:r>
    <w:r>
      <w:rPr>
        <w:rFonts w:ascii="Times New Roman" w:hAnsi="Times New Roman" w:cs="Times New Roman"/>
        <w:b/>
        <w:bCs/>
        <w:sz w:val="20"/>
        <w:szCs w:val="20"/>
      </w:rPr>
      <w:fldChar w:fldCharType="begin"/>
      <w:instrText xml:space="preserve"> NUMPAGES </w:instrText>
      <w:fldChar w:fldCharType="separate"/>
      <w:t>9</w:t>
      <w:fldChar w:fldCharType="end"/>
    </w:r>
    <w:r>
      <w:rPr>
        <w:rFonts w:ascii="Times New Roman" w:hAnsi="Times New Roman" w:cs="Times New Roman"/>
        <w:sz w:val="20"/>
        <w:szCs w:val="20"/>
      </w:rPr>
    </w:r>
  </w:p>
  <w:p>
    <w:pPr>
      <w:pStyle w:val="para7"/>
      <w:rPr>
        <w:rFonts w:ascii="Times New Roman" w:hAnsi="Times New Roman" w:cs="Times New Roman"/>
        <w:sz w:val="20"/>
        <w:szCs w:val="20"/>
      </w:rPr>
    </w:pPr>
    <w:r>
      <w:rPr>
        <w:rFonts w:ascii="Times New Roman" w:hAnsi="Times New Roman" w:cs="Times New Roman"/>
        <w:sz w:val="20"/>
        <w:szCs w:val="20"/>
      </w:r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decimal"/>
      <w:suff w:val="tab"/>
      <w:lvlText w:val="1.%1."/>
      <w:lvlJc w:val="left"/>
      <w:pPr>
        <w:ind w:left="360" w:hanging="0"/>
      </w:pPr>
      <w:rPr>
        <w:sz w:val="20"/>
        <w:szCs w:val="20"/>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Нумерованный список 2"/>
    <w:lvl w:ilvl="0">
      <w:start w:val="1"/>
      <w:numFmt w:val="decimal"/>
      <w:suff w:val="tab"/>
      <w:lvlText w:val="2.%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Нумерованный список 3"/>
    <w:lvl w:ilvl="0">
      <w:start w:val="3"/>
      <w:numFmt w:val="decimal"/>
      <w:suff w:val="tab"/>
      <w:lvlText w:val="%1."/>
      <w:lvlJc w:val="left"/>
      <w:pPr>
        <w:ind w:left="0" w:hanging="0"/>
      </w:pPr>
    </w:lvl>
    <w:lvl w:ilvl="1">
      <w:start w:val="2"/>
      <w:numFmt w:val="decimal"/>
      <w:suff w:val="tab"/>
      <w:lvlText w:val="%1.%2."/>
      <w:lvlJc w:val="left"/>
      <w:pPr>
        <w:ind w:left="0" w:hanging="0"/>
      </w:pPr>
    </w:lvl>
    <w:lvl w:ilvl="2">
      <w:start w:val="5"/>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4">
    <w:multiLevelType w:val="hybridMultilevel"/>
    <w:name w:val="Нумерованный список 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Нумерованный список 5"/>
    <w:lvl w:ilvl="0">
      <w:start w:val="5"/>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6">
    <w:multiLevelType w:val="hybridMultilevel"/>
    <w:name w:val="Нумерованный список 6"/>
    <w:lvl w:ilvl="0">
      <w:start w:val="1"/>
      <w:numFmt w:val="decimal"/>
      <w:suff w:val="tab"/>
      <w:lvlText w:val="3.1.6.%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Нумерованный список 7"/>
    <w:lvl w:ilvl="0">
      <w:start w:val="1"/>
      <w:numFmt w:val="decimal"/>
      <w:suff w:val="tab"/>
      <w:lvlText w:val="4.%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8">
    <w:multiLevelType w:val="hybridMultilevel"/>
    <w:name w:val="Нумерованный список 8"/>
    <w:lvl w:ilvl="0">
      <w:start w:val="1"/>
      <w:numFmt w:val="decimal"/>
      <w:suff w:val="tab"/>
      <w:lvlText w:val="%1."/>
      <w:lvlJc w:val="left"/>
      <w:pPr>
        <w:ind w:left="3770" w:hanging="0"/>
      </w:pPr>
      <w:rPr>
        <w:b/>
      </w:rPr>
    </w:lvl>
    <w:lvl w:ilvl="1">
      <w:start w:val="1"/>
      <w:numFmt w:val="decimal"/>
      <w:suff w:val="tab"/>
      <w:lvlText w:val="%1.%2."/>
      <w:lvlJc w:val="left"/>
      <w:pPr>
        <w:ind w:left="3770" w:hanging="0"/>
      </w:pPr>
      <w:rPr>
        <w:b w:val="0"/>
      </w:rPr>
    </w:lvl>
    <w:lvl w:ilvl="2">
      <w:start w:val="1"/>
      <w:numFmt w:val="decimal"/>
      <w:suff w:val="tab"/>
      <w:lvlText w:val="%1.%2.%3."/>
      <w:lvlJc w:val="left"/>
      <w:pPr>
        <w:ind w:left="3770" w:hanging="0"/>
      </w:pPr>
    </w:lvl>
    <w:lvl w:ilvl="3">
      <w:start w:val="1"/>
      <w:numFmt w:val="decimal"/>
      <w:suff w:val="tab"/>
      <w:lvlText w:val="%1.%2.%3.%4."/>
      <w:lvlJc w:val="left"/>
      <w:pPr>
        <w:ind w:left="3770" w:hanging="0"/>
      </w:pPr>
    </w:lvl>
    <w:lvl w:ilvl="4">
      <w:start w:val="1"/>
      <w:numFmt w:val="decimal"/>
      <w:suff w:val="tab"/>
      <w:lvlText w:val="%1.%2.%3.%4.%5."/>
      <w:lvlJc w:val="left"/>
      <w:pPr>
        <w:ind w:left="3770" w:hanging="0"/>
      </w:pPr>
    </w:lvl>
    <w:lvl w:ilvl="5">
      <w:start w:val="1"/>
      <w:numFmt w:val="decimal"/>
      <w:suff w:val="tab"/>
      <w:lvlText w:val="%1.%2.%3.%4.%5.%6."/>
      <w:lvlJc w:val="left"/>
      <w:pPr>
        <w:ind w:left="3770" w:hanging="0"/>
      </w:pPr>
    </w:lvl>
    <w:lvl w:ilvl="6">
      <w:start w:val="1"/>
      <w:numFmt w:val="decimal"/>
      <w:suff w:val="tab"/>
      <w:lvlText w:val="%1.%2.%3.%4.%5.%6.%7."/>
      <w:lvlJc w:val="left"/>
      <w:pPr>
        <w:ind w:left="3770" w:hanging="0"/>
      </w:pPr>
    </w:lvl>
    <w:lvl w:ilvl="7">
      <w:start w:val="1"/>
      <w:numFmt w:val="decimal"/>
      <w:suff w:val="tab"/>
      <w:lvlText w:val="%1.%2.%3.%4.%5.%6.%7.%8."/>
      <w:lvlJc w:val="left"/>
      <w:pPr>
        <w:ind w:left="3770" w:hanging="0"/>
      </w:pPr>
    </w:lvl>
    <w:lvl w:ilvl="8">
      <w:start w:val="1"/>
      <w:numFmt w:val="decimal"/>
      <w:suff w:val="tab"/>
      <w:lvlText w:val="%1.%2.%3.%4.%5.%6.%7.%8.%9."/>
      <w:lvlJc w:val="left"/>
      <w:pPr>
        <w:ind w:left="3770" w:hanging="0"/>
      </w:pPr>
    </w:lvl>
  </w:abstractNum>
  <w:abstractNum w:abstractNumId="9">
    <w:multiLevelType w:val="hybridMultilevel"/>
    <w:name w:val="Нумерованный список 9"/>
    <w:lvl w:ilvl="0">
      <w:start w:val="6"/>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0">
    <w:multiLevelType w:val="hybridMultilevel"/>
    <w:name w:val="Нумерованный список 10"/>
    <w:lvl w:ilvl="0">
      <w:start w:val="1"/>
      <w:numFmt w:val="decimal"/>
      <w:suff w:val="tab"/>
      <w:lvlText w:val="3.1.6.%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1">
    <w:multiLevelType w:val="hybridMultilevel"/>
    <w:name w:val="Нумерованный список 11"/>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2">
    <w:multiLevelType w:val="hybridMultilevel"/>
    <w:name w:val="Нумерованный список 12"/>
    <w:lvl w:ilvl="0">
      <w:start w:val="3"/>
      <w:numFmt w:val="decimal"/>
      <w:suff w:val="tab"/>
      <w:lvlText w:val="%1."/>
      <w:lvlJc w:val="left"/>
      <w:pPr>
        <w:ind w:left="0" w:hanging="0"/>
      </w:pPr>
    </w:lvl>
    <w:lvl w:ilvl="1">
      <w:start w:val="1"/>
      <w:numFmt w:val="decimal"/>
      <w:suff w:val="tab"/>
      <w:lvlText w:val="%1.%2."/>
      <w:lvlJc w:val="left"/>
      <w:pPr>
        <w:ind w:left="567" w:hanging="0"/>
      </w:pPr>
    </w:lvl>
    <w:lvl w:ilvl="2">
      <w:start w:val="10"/>
      <w:numFmt w:val="decimal"/>
      <w:suff w:val="tab"/>
      <w:lvlText w:val="%1.%2.%3."/>
      <w:lvlJc w:val="left"/>
      <w:pPr>
        <w:ind w:left="1134" w:hanging="0"/>
      </w:pPr>
    </w:lvl>
    <w:lvl w:ilvl="3">
      <w:start w:val="1"/>
      <w:numFmt w:val="decimal"/>
      <w:suff w:val="tab"/>
      <w:lvlText w:val="%1.%2.%3.%4."/>
      <w:lvlJc w:val="left"/>
      <w:pPr>
        <w:ind w:left="1701" w:hanging="0"/>
      </w:pPr>
    </w:lvl>
    <w:lvl w:ilvl="4">
      <w:start w:val="1"/>
      <w:numFmt w:val="decimal"/>
      <w:suff w:val="tab"/>
      <w:lvlText w:val="%1.%2.%3.%4.%5."/>
      <w:lvlJc w:val="left"/>
      <w:pPr>
        <w:ind w:left="2268" w:hanging="0"/>
      </w:pPr>
    </w:lvl>
    <w:lvl w:ilvl="5">
      <w:start w:val="1"/>
      <w:numFmt w:val="decimal"/>
      <w:suff w:val="tab"/>
      <w:lvlText w:val="%1.%2.%3.%4.%5.%6."/>
      <w:lvlJc w:val="left"/>
      <w:pPr>
        <w:ind w:left="2835" w:hanging="0"/>
      </w:pPr>
    </w:lvl>
    <w:lvl w:ilvl="6">
      <w:start w:val="1"/>
      <w:numFmt w:val="decimal"/>
      <w:suff w:val="tab"/>
      <w:lvlText w:val="%1.%2.%3.%4.%5.%6.%7."/>
      <w:lvlJc w:val="left"/>
      <w:pPr>
        <w:ind w:left="3402" w:hanging="0"/>
      </w:pPr>
    </w:lvl>
    <w:lvl w:ilvl="7">
      <w:start w:val="1"/>
      <w:numFmt w:val="decimal"/>
      <w:suff w:val="tab"/>
      <w:lvlText w:val="%1.%2.%3.%4.%5.%6.%7.%8."/>
      <w:lvlJc w:val="left"/>
      <w:pPr>
        <w:ind w:left="3969" w:hanging="0"/>
      </w:pPr>
    </w:lvl>
    <w:lvl w:ilvl="8">
      <w:start w:val="1"/>
      <w:numFmt w:val="decimal"/>
      <w:suff w:val="tab"/>
      <w:lvlText w:val="%1.%2.%3.%4.%5.%6.%7.%8.%9."/>
      <w:lvlJc w:val="left"/>
      <w:pPr>
        <w:ind w:left="4536" w:hanging="0"/>
      </w:pPr>
    </w:lvl>
  </w:abstractNum>
  <w:abstractNum w:abstractNumId="13">
    <w:multiLevelType w:val="hybridMultilevel"/>
    <w:name w:val="Нумерованный список 13"/>
    <w:lvl w:ilvl="0">
      <w:start w:val="1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4">
    <w:multiLevelType w:val="hybridMultilevel"/>
    <w:name w:val="Нумерованный список 14"/>
    <w:lvl w:ilvl="0">
      <w:start w:val="7"/>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5">
    <w:multiLevelType w:val="hybridMultilevel"/>
    <w:name w:val="Нумерованный список 15"/>
    <w:lvl w:ilvl="0">
      <w:numFmt w:val="bullet"/>
      <w:suff w:val="tab"/>
      <w:lvlText w:val=""/>
      <w:lvlJc w:val="left"/>
      <w:pPr>
        <w:ind w:left="927" w:hanging="0"/>
      </w:pPr>
      <w:rPr>
        <w:rFonts w:ascii="Symbol" w:hAnsi="Symbol"/>
      </w:rPr>
    </w:lvl>
    <w:lvl w:ilvl="1">
      <w:numFmt w:val="bullet"/>
      <w:suff w:val="tab"/>
      <w:lvlText w:val="o"/>
      <w:lvlJc w:val="left"/>
      <w:pPr>
        <w:ind w:left="1647" w:hanging="0"/>
      </w:pPr>
      <w:rPr>
        <w:rFonts w:ascii="Courier New" w:hAnsi="Courier New" w:cs="Courier New"/>
      </w:rPr>
    </w:lvl>
    <w:lvl w:ilvl="2">
      <w:numFmt w:val="bullet"/>
      <w:suff w:val="tab"/>
      <w:lvlText w:val=""/>
      <w:lvlJc w:val="left"/>
      <w:pPr>
        <w:ind w:left="2367" w:hanging="0"/>
      </w:pPr>
      <w:rPr>
        <w:rFonts w:ascii="Wingdings" w:hAnsi="Wingdings" w:eastAsia="Wingdings" w:cs="Wingdings"/>
      </w:rPr>
    </w:lvl>
    <w:lvl w:ilvl="3">
      <w:numFmt w:val="bullet"/>
      <w:suff w:val="tab"/>
      <w:lvlText w:val=""/>
      <w:lvlJc w:val="left"/>
      <w:pPr>
        <w:ind w:left="3087" w:hanging="0"/>
      </w:pPr>
      <w:rPr>
        <w:rFonts w:ascii="Symbol" w:hAnsi="Symbol"/>
      </w:rPr>
    </w:lvl>
    <w:lvl w:ilvl="4">
      <w:numFmt w:val="bullet"/>
      <w:suff w:val="tab"/>
      <w:lvlText w:val="o"/>
      <w:lvlJc w:val="left"/>
      <w:pPr>
        <w:ind w:left="3807" w:hanging="0"/>
      </w:pPr>
      <w:rPr>
        <w:rFonts w:ascii="Courier New" w:hAnsi="Courier New" w:cs="Courier New"/>
      </w:rPr>
    </w:lvl>
    <w:lvl w:ilvl="5">
      <w:numFmt w:val="bullet"/>
      <w:suff w:val="tab"/>
      <w:lvlText w:val=""/>
      <w:lvlJc w:val="left"/>
      <w:pPr>
        <w:ind w:left="4527" w:hanging="0"/>
      </w:pPr>
      <w:rPr>
        <w:rFonts w:ascii="Wingdings" w:hAnsi="Wingdings" w:eastAsia="Wingdings" w:cs="Wingdings"/>
      </w:rPr>
    </w:lvl>
    <w:lvl w:ilvl="6">
      <w:numFmt w:val="bullet"/>
      <w:suff w:val="tab"/>
      <w:lvlText w:val=""/>
      <w:lvlJc w:val="left"/>
      <w:pPr>
        <w:ind w:left="5247" w:hanging="0"/>
      </w:pPr>
      <w:rPr>
        <w:rFonts w:ascii="Symbol" w:hAnsi="Symbol"/>
      </w:rPr>
    </w:lvl>
    <w:lvl w:ilvl="7">
      <w:numFmt w:val="bullet"/>
      <w:suff w:val="tab"/>
      <w:lvlText w:val="o"/>
      <w:lvlJc w:val="left"/>
      <w:pPr>
        <w:ind w:left="5967" w:hanging="0"/>
      </w:pPr>
      <w:rPr>
        <w:rFonts w:ascii="Courier New" w:hAnsi="Courier New" w:cs="Courier New"/>
      </w:rPr>
    </w:lvl>
    <w:lvl w:ilvl="8">
      <w:numFmt w:val="bullet"/>
      <w:suff w:val="tab"/>
      <w:lvlText w:val=""/>
      <w:lvlJc w:val="left"/>
      <w:pPr>
        <w:ind w:left="6687" w:hanging="0"/>
      </w:pPr>
      <w:rPr>
        <w:rFonts w:ascii="Wingdings" w:hAnsi="Wingdings" w:eastAsia="Wingdings" w:cs="Wingdings"/>
      </w:rPr>
    </w:lvl>
  </w:abstractNum>
  <w:abstractNum w:abstractNumId="16">
    <w:multiLevelType w:val="hybridMultilevel"/>
    <w:name w:val="Нумерованный список 16"/>
    <w:lvl w:ilvl="0">
      <w:start w:val="3"/>
      <w:numFmt w:val="decimal"/>
      <w:suff w:val="tab"/>
      <w:lvlText w:val="%1."/>
      <w:lvlJc w:val="left"/>
      <w:pPr>
        <w:ind w:left="0" w:hanging="0"/>
      </w:pPr>
    </w:lvl>
    <w:lvl w:ilvl="1">
      <w:start w:val="2"/>
      <w:numFmt w:val="decimal"/>
      <w:suff w:val="tab"/>
      <w:lvlText w:val="%1.%2."/>
      <w:lvlJc w:val="left"/>
      <w:pPr>
        <w:ind w:left="0" w:hanging="0"/>
      </w:pPr>
    </w:lvl>
    <w:lvl w:ilvl="2">
      <w:start w:val="5"/>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7">
    <w:multiLevelType w:val="hybridMultilevel"/>
    <w:name w:val="Нумерованный список 17"/>
    <w:lvl w:ilvl="0">
      <w:start w:val="1"/>
      <w:numFmt w:val="decimal"/>
      <w:suff w:val="tab"/>
      <w:lvlText w:val="3.1..%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8">
    <w:multiLevelType w:val="hybridMultilevel"/>
    <w:name w:val="Нумерованный список 18"/>
    <w:lvl w:ilvl="0">
      <w:start w:val="1"/>
      <w:numFmt w:val="decimal"/>
      <w:suff w:val="tab"/>
      <w:lvlText w:val="9.%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9">
    <w:multiLevelType w:val="hybridMultilevel"/>
    <w:name w:val="Нумерованный список 19"/>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numFmt w:val="bullet"/>
      <w:suff w:val="tab"/>
      <w:lvlText w:val=""/>
      <w:lvlJc w:val="left"/>
      <w:pPr>
        <w:ind w:left="1062" w:hanging="0"/>
      </w:pPr>
      <w:rPr>
        <w:rFonts w:ascii="Wingdings" w:hAnsi="Wingdings"/>
      </w:r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20">
    <w:multiLevelType w:val="hybridMultilevel"/>
    <w:name w:val="Нумерованный список 20"/>
    <w:lvl w:ilvl="0">
      <w:start w:val="1"/>
      <w:numFmt w:val="decimal"/>
      <w:suff w:val="tab"/>
      <w:lvlText w:val="5.%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1">
    <w:multiLevelType w:val="hybridMultilevel"/>
    <w:name w:val="Нумерованный список 21"/>
    <w:lvl w:ilvl="0">
      <w:start w:val="1"/>
      <w:numFmt w:val="decimal"/>
      <w:suff w:val="tab"/>
      <w:lvlText w:val="6.%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2">
    <w:multiLevelType w:val="hybridMultilevel"/>
    <w:name w:val="Нумерованный список 22"/>
    <w:lvl w:ilvl="0">
      <w:start w:val="2"/>
      <w:numFmt w:val="decimal"/>
      <w:suff w:val="tab"/>
      <w:lvlText w:val="%1."/>
      <w:lvlJc w:val="left"/>
      <w:pPr>
        <w:ind w:left="0" w:hanging="0"/>
      </w:pPr>
      <w:rPr>
        <w:rFonts w:ascii="Cambria" w:hAnsi="Cambria"/>
      </w:rPr>
    </w:lvl>
    <w:lvl w:ilvl="1">
      <w:start w:val="1"/>
      <w:numFmt w:val="decimal"/>
      <w:suff w:val="tab"/>
      <w:lvlText w:val="%1.%2."/>
      <w:lvlJc w:val="left"/>
      <w:pPr>
        <w:ind w:left="2126" w:hanging="0"/>
      </w:pPr>
      <w:rPr>
        <w:rFonts w:ascii="Times New Roman" w:hAnsi="Times New Roman" w:cs="Times New Roman"/>
        <w:color w:val="auto"/>
      </w:rPr>
    </w:lvl>
    <w:lvl w:ilvl="2">
      <w:start w:val="1"/>
      <w:numFmt w:val="decimal"/>
      <w:suff w:val="tab"/>
      <w:lvlText w:val="%1.%2.%3."/>
      <w:lvlJc w:val="left"/>
      <w:pPr>
        <w:ind w:left="0" w:hanging="0"/>
      </w:pPr>
      <w:rPr>
        <w:rFonts w:ascii="Cambria" w:hAnsi="Cambria"/>
      </w:rPr>
    </w:lvl>
    <w:lvl w:ilvl="3">
      <w:start w:val="1"/>
      <w:numFmt w:val="decimal"/>
      <w:suff w:val="tab"/>
      <w:lvlText w:val="%1.%2.%3.%4."/>
      <w:lvlJc w:val="left"/>
      <w:pPr>
        <w:ind w:left="0" w:hanging="0"/>
      </w:pPr>
      <w:rPr>
        <w:rFonts w:ascii="Cambria" w:hAnsi="Cambria"/>
      </w:rPr>
    </w:lvl>
    <w:lvl w:ilvl="4">
      <w:start w:val="1"/>
      <w:numFmt w:val="decimal"/>
      <w:suff w:val="tab"/>
      <w:lvlText w:val="%1.%2.%3.%4.%5."/>
      <w:lvlJc w:val="left"/>
      <w:pPr>
        <w:ind w:left="0" w:hanging="0"/>
      </w:pPr>
      <w:rPr>
        <w:rFonts w:ascii="Cambria" w:hAnsi="Cambria"/>
      </w:rPr>
    </w:lvl>
    <w:lvl w:ilvl="5">
      <w:start w:val="1"/>
      <w:numFmt w:val="decimal"/>
      <w:suff w:val="tab"/>
      <w:lvlText w:val="%1.%2.%3.%4.%5.%6."/>
      <w:lvlJc w:val="left"/>
      <w:pPr>
        <w:ind w:left="0" w:hanging="0"/>
      </w:pPr>
      <w:rPr>
        <w:rFonts w:ascii="Cambria" w:hAnsi="Cambria"/>
      </w:rPr>
    </w:lvl>
    <w:lvl w:ilvl="6">
      <w:start w:val="1"/>
      <w:numFmt w:val="decimal"/>
      <w:suff w:val="tab"/>
      <w:lvlText w:val="%1.%2.%3.%4.%5.%6.%7."/>
      <w:lvlJc w:val="left"/>
      <w:pPr>
        <w:ind w:left="0" w:hanging="0"/>
      </w:pPr>
      <w:rPr>
        <w:rFonts w:ascii="Cambria" w:hAnsi="Cambria"/>
      </w:rPr>
    </w:lvl>
    <w:lvl w:ilvl="7">
      <w:start w:val="1"/>
      <w:numFmt w:val="decimal"/>
      <w:suff w:val="tab"/>
      <w:lvlText w:val="%1.%2.%3.%4.%5.%6.%7.%8."/>
      <w:lvlJc w:val="left"/>
      <w:pPr>
        <w:ind w:left="0" w:hanging="0"/>
      </w:pPr>
      <w:rPr>
        <w:rFonts w:ascii="Cambria" w:hAnsi="Cambria"/>
      </w:rPr>
    </w:lvl>
    <w:lvl w:ilvl="8">
      <w:start w:val="1"/>
      <w:numFmt w:val="decimal"/>
      <w:suff w:val="tab"/>
      <w:lvlText w:val="%1.%2.%3.%4.%5.%6.%7.%8.%9."/>
      <w:lvlJc w:val="left"/>
      <w:pPr>
        <w:ind w:left="0" w:hanging="0"/>
      </w:pPr>
      <w:rPr>
        <w:rFonts w:ascii="Cambria" w:hAnsi="Cambria"/>
      </w:rPr>
    </w:lvl>
  </w:abstractNum>
  <w:abstractNum w:abstractNumId="23">
    <w:multiLevelType w:val="hybridMultilevel"/>
    <w:name w:val="Нумерованный список 23"/>
    <w:lvl w:ilvl="0">
      <w:start w:val="1"/>
      <w:numFmt w:val="decimal"/>
      <w:suff w:val="tab"/>
      <w:lvlText w:val="8.%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4">
    <w:multiLevelType w:val="hybridMultilevel"/>
    <w:name w:val="Нумерованный список 24"/>
    <w:lvl w:ilvl="0">
      <w:start w:val="1"/>
      <w:numFmt w:val="decimal"/>
      <w:suff w:val="tab"/>
      <w:lvlText w:val="3.2.%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5">
    <w:multiLevelType w:val="hybridMultilevel"/>
    <w:name w:val="Нумерованный список 25"/>
    <w:lvl w:ilvl="0">
      <w:start w:val="1"/>
      <w:numFmt w:val="decimal"/>
      <w:suff w:val="tab"/>
      <w:lvlText w:val="10.%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6">
    <w:multiLevelType w:val="hybridMultilevel"/>
    <w:name w:val="Нумерованный список 26"/>
    <w:lvl w:ilvl="0">
      <w:start w:val="1"/>
      <w:numFmt w:val="decimal"/>
      <w:suff w:val="tab"/>
      <w:lvlText w:val="%1."/>
      <w:lvlJc w:val="left"/>
      <w:pPr>
        <w:ind w:left="360" w:hanging="0"/>
      </w:pPr>
      <w:rPr>
        <w:rFonts w:ascii="Times New Roman" w:hAnsi="Times New Roman"/>
        <w:b/>
        <w:bCs/>
        <w:sz w:val="21"/>
      </w:rPr>
    </w:lvl>
    <w:lvl w:ilvl="1">
      <w:start w:val="1"/>
      <w:numFmt w:val="decimal"/>
      <w:suff w:val="tab"/>
      <w:lvlText w:val="%1.%2."/>
      <w:lvlJc w:val="left"/>
      <w:pPr>
        <w:ind w:left="360" w:hanging="0"/>
      </w:pPr>
    </w:lvl>
    <w:lvl w:ilvl="2">
      <w:start w:val="1"/>
      <w:numFmt w:val="decimal"/>
      <w:suff w:val="tab"/>
      <w:lvlText w:val="%1.%2.%3."/>
      <w:lvlJc w:val="left"/>
      <w:pPr>
        <w:ind w:left="360" w:hanging="0"/>
      </w:pPr>
      <w:rPr>
        <w:sz w:val="24"/>
        <w:szCs w:val="24"/>
      </w:rPr>
    </w:lvl>
    <w:lvl w:ilvl="3">
      <w:start w:val="1"/>
      <w:numFmt w:val="decimal"/>
      <w:suff w:val="tab"/>
      <w:lvlText w:val="%1.%2.%3.%4."/>
      <w:lvlJc w:val="left"/>
      <w:pPr>
        <w:ind w:left="360" w:hanging="0"/>
      </w:pPr>
    </w:lvl>
    <w:lvl w:ilvl="4">
      <w:start w:val="1"/>
      <w:numFmt w:val="decimal"/>
      <w:suff w:val="tab"/>
      <w:lvlText w:val="%1.%2.%3.%4.%5."/>
      <w:lvlJc w:val="left"/>
      <w:pPr>
        <w:ind w:left="360" w:hanging="0"/>
      </w:pPr>
    </w:lvl>
    <w:lvl w:ilvl="5">
      <w:start w:val="1"/>
      <w:numFmt w:val="decimal"/>
      <w:suff w:val="tab"/>
      <w:lvlText w:val="%1.%2.%3.%4.%5.%6."/>
      <w:lvlJc w:val="left"/>
      <w:pPr>
        <w:ind w:left="360" w:hanging="0"/>
      </w:pPr>
    </w:lvl>
    <w:lvl w:ilvl="6">
      <w:start w:val="1"/>
      <w:numFmt w:val="decimal"/>
      <w:suff w:val="tab"/>
      <w:lvlText w:val="%1.%2.%3.%4.%5.%6.%7."/>
      <w:lvlJc w:val="left"/>
      <w:pPr>
        <w:ind w:left="360" w:hanging="0"/>
      </w:pPr>
    </w:lvl>
    <w:lvl w:ilvl="7">
      <w:start w:val="1"/>
      <w:numFmt w:val="decimal"/>
      <w:suff w:val="tab"/>
      <w:lvlText w:val="%1.%2.%3.%4.%5.%6.%7.%8."/>
      <w:lvlJc w:val="left"/>
      <w:pPr>
        <w:ind w:left="360" w:hanging="0"/>
      </w:pPr>
    </w:lvl>
    <w:lvl w:ilvl="8">
      <w:start w:val="1"/>
      <w:numFmt w:val="decimal"/>
      <w:suff w:val="tab"/>
      <w:lvlText w:val="%1.%2.%3.%4.%5.%6.%7.%8.%9."/>
      <w:lvlJc w:val="left"/>
      <w:pPr>
        <w:ind w:left="360" w:hanging="0"/>
      </w:pPr>
    </w:lvl>
  </w:abstractNum>
  <w:abstractNum w:abstractNumId="27">
    <w:multiLevelType w:val="hybridMultilevel"/>
    <w:name w:val="Нумерованный список 27"/>
    <w:lvl w:ilvl="0">
      <w:start w:val="1"/>
      <w:numFmt w:val="decimal"/>
      <w:suff w:val="tab"/>
      <w:lvlText w:val="7.%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8">
    <w:multiLevelType w:val="hybridMultilevel"/>
    <w:name w:val="Нумерованный список 28"/>
    <w:lvl w:ilvl="0">
      <w:start w:val="13"/>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9">
    <w:multiLevelType w:val="hybridMultilevel"/>
    <w:name w:val="Нумерованный список 29"/>
    <w:lvl w:ilvl="0">
      <w:numFmt w:val="bullet"/>
      <w:suff w:val="tab"/>
      <w:lvlText w:val=""/>
      <w:lvlJc w:val="left"/>
      <w:pPr>
        <w:ind w:left="927" w:hanging="0"/>
      </w:pPr>
      <w:rPr>
        <w:rFonts w:ascii="Symbol" w:hAnsi="Symbol"/>
      </w:rPr>
    </w:lvl>
    <w:lvl w:ilvl="1">
      <w:numFmt w:val="bullet"/>
      <w:suff w:val="tab"/>
      <w:lvlText w:val="o"/>
      <w:lvlJc w:val="left"/>
      <w:pPr>
        <w:ind w:left="1647" w:hanging="0"/>
      </w:pPr>
      <w:rPr>
        <w:rFonts w:ascii="Courier New" w:hAnsi="Courier New" w:cs="Courier New"/>
      </w:rPr>
    </w:lvl>
    <w:lvl w:ilvl="2">
      <w:numFmt w:val="bullet"/>
      <w:suff w:val="tab"/>
      <w:lvlText w:val=""/>
      <w:lvlJc w:val="left"/>
      <w:pPr>
        <w:ind w:left="2367" w:hanging="0"/>
      </w:pPr>
      <w:rPr>
        <w:rFonts w:ascii="Wingdings" w:hAnsi="Wingdings" w:eastAsia="Wingdings" w:cs="Wingdings"/>
      </w:rPr>
    </w:lvl>
    <w:lvl w:ilvl="3">
      <w:numFmt w:val="bullet"/>
      <w:suff w:val="tab"/>
      <w:lvlText w:val=""/>
      <w:lvlJc w:val="left"/>
      <w:pPr>
        <w:ind w:left="3087" w:hanging="0"/>
      </w:pPr>
      <w:rPr>
        <w:rFonts w:ascii="Symbol" w:hAnsi="Symbol"/>
      </w:rPr>
    </w:lvl>
    <w:lvl w:ilvl="4">
      <w:numFmt w:val="bullet"/>
      <w:suff w:val="tab"/>
      <w:lvlText w:val="o"/>
      <w:lvlJc w:val="left"/>
      <w:pPr>
        <w:ind w:left="3807" w:hanging="0"/>
      </w:pPr>
      <w:rPr>
        <w:rFonts w:ascii="Courier New" w:hAnsi="Courier New" w:cs="Courier New"/>
      </w:rPr>
    </w:lvl>
    <w:lvl w:ilvl="5">
      <w:numFmt w:val="bullet"/>
      <w:suff w:val="tab"/>
      <w:lvlText w:val=""/>
      <w:lvlJc w:val="left"/>
      <w:pPr>
        <w:ind w:left="4527" w:hanging="0"/>
      </w:pPr>
      <w:rPr>
        <w:rFonts w:ascii="Wingdings" w:hAnsi="Wingdings" w:eastAsia="Wingdings" w:cs="Wingdings"/>
      </w:rPr>
    </w:lvl>
    <w:lvl w:ilvl="6">
      <w:numFmt w:val="bullet"/>
      <w:suff w:val="tab"/>
      <w:lvlText w:val=""/>
      <w:lvlJc w:val="left"/>
      <w:pPr>
        <w:ind w:left="5247" w:hanging="0"/>
      </w:pPr>
      <w:rPr>
        <w:rFonts w:ascii="Symbol" w:hAnsi="Symbol"/>
      </w:rPr>
    </w:lvl>
    <w:lvl w:ilvl="7">
      <w:numFmt w:val="bullet"/>
      <w:suff w:val="tab"/>
      <w:lvlText w:val="o"/>
      <w:lvlJc w:val="left"/>
      <w:pPr>
        <w:ind w:left="5967" w:hanging="0"/>
      </w:pPr>
      <w:rPr>
        <w:rFonts w:ascii="Courier New" w:hAnsi="Courier New" w:cs="Courier New"/>
      </w:rPr>
    </w:lvl>
    <w:lvl w:ilvl="8">
      <w:numFmt w:val="bullet"/>
      <w:suff w:val="tab"/>
      <w:lvlText w:val=""/>
      <w:lvlJc w:val="left"/>
      <w:pPr>
        <w:ind w:left="6687" w:hanging="0"/>
      </w:pPr>
      <w:rPr>
        <w:rFonts w:ascii="Wingdings" w:hAnsi="Wingdings" w:eastAsia="Wingdings" w:cs="Wingdings"/>
      </w:rPr>
    </w:lvl>
  </w:abstractNum>
  <w:abstractNum w:abstractNumId="30">
    <w:multiLevelType w:val="hybridMultilevel"/>
    <w:name w:val="Нумерованный список 30"/>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426" w:hanging="0"/>
      </w:pPr>
    </w:lvl>
    <w:lvl w:ilvl="3">
      <w:start w:val="1"/>
      <w:numFmt w:val="decimal"/>
      <w:suff w:val="tab"/>
      <w:lvlText w:val="%1.%2.%3.%4."/>
      <w:lvlJc w:val="left"/>
      <w:pPr>
        <w:ind w:left="1062" w:hanging="0"/>
      </w:p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31">
    <w:multiLevelType w:val="hybridMultilevel"/>
    <w:name w:val="Нумерованный список 31"/>
    <w:lvl w:ilvl="0">
      <w:numFmt w:val="bullet"/>
      <w:suff w:val="tab"/>
      <w:lvlText w:val=""/>
      <w:lvlJc w:val="left"/>
      <w:pPr>
        <w:ind w:left="1080" w:hanging="0"/>
      </w:pPr>
      <w:rPr>
        <w:rFonts w:ascii="Symbol" w:hAnsi="Symbol"/>
        <w:b w:val="0"/>
      </w:rPr>
    </w:lvl>
    <w:lvl w:ilvl="1">
      <w:start w:val="1"/>
      <w:numFmt w:val="lowerLetter"/>
      <w:suff w:val="tab"/>
      <w:lvlText w:val="%2."/>
      <w:lvlJc w:val="left"/>
      <w:pPr>
        <w:ind w:left="1080" w:hanging="0"/>
      </w:pPr>
      <w:rPr>
        <w:rFonts w:cs="Times New Roman"/>
      </w:rPr>
    </w:lvl>
    <w:lvl w:ilvl="2">
      <w:start w:val="1"/>
      <w:numFmt w:val="lowerRoman"/>
      <w:suff w:val="tab"/>
      <w:lvlText w:val="%3."/>
      <w:lvlJc w:val="left"/>
      <w:pPr>
        <w:ind w:left="1980" w:hanging="0"/>
      </w:pPr>
      <w:rPr>
        <w:rFonts w:cs="Times New Roman"/>
      </w:rPr>
    </w:lvl>
    <w:lvl w:ilvl="3">
      <w:start w:val="1"/>
      <w:numFmt w:val="decimal"/>
      <w:suff w:val="tab"/>
      <w:lvlText w:val="%4."/>
      <w:lvlJc w:val="left"/>
      <w:pPr>
        <w:ind w:left="2520" w:hanging="0"/>
      </w:pPr>
      <w:rPr>
        <w:rFonts w:cs="Times New Roman"/>
      </w:rPr>
    </w:lvl>
    <w:lvl w:ilvl="4">
      <w:start w:val="1"/>
      <w:numFmt w:val="lowerLetter"/>
      <w:suff w:val="tab"/>
      <w:lvlText w:val="%5."/>
      <w:lvlJc w:val="left"/>
      <w:pPr>
        <w:ind w:left="3240" w:hanging="0"/>
      </w:pPr>
      <w:rPr>
        <w:rFonts w:cs="Times New Roman"/>
      </w:rPr>
    </w:lvl>
    <w:lvl w:ilvl="5">
      <w:start w:val="1"/>
      <w:numFmt w:val="lowerRoman"/>
      <w:suff w:val="tab"/>
      <w:lvlText w:val="%6."/>
      <w:lvlJc w:val="left"/>
      <w:pPr>
        <w:ind w:left="4140" w:hanging="0"/>
      </w:pPr>
      <w:rPr>
        <w:rFonts w:cs="Times New Roman"/>
      </w:rPr>
    </w:lvl>
    <w:lvl w:ilvl="6">
      <w:start w:val="1"/>
      <w:numFmt w:val="decimal"/>
      <w:suff w:val="tab"/>
      <w:lvlText w:val="%7."/>
      <w:lvlJc w:val="left"/>
      <w:pPr>
        <w:ind w:left="4680" w:hanging="0"/>
      </w:pPr>
      <w:rPr>
        <w:rFonts w:cs="Times New Roman"/>
      </w:rPr>
    </w:lvl>
    <w:lvl w:ilvl="7">
      <w:start w:val="1"/>
      <w:numFmt w:val="lowerLetter"/>
      <w:suff w:val="tab"/>
      <w:lvlText w:val="%8."/>
      <w:lvlJc w:val="left"/>
      <w:pPr>
        <w:ind w:left="5400" w:hanging="0"/>
      </w:pPr>
      <w:rPr>
        <w:rFonts w:cs="Times New Roman"/>
      </w:rPr>
    </w:lvl>
    <w:lvl w:ilvl="8">
      <w:start w:val="1"/>
      <w:numFmt w:val="lowerRoman"/>
      <w:suff w:val="tab"/>
      <w:lvlText w:val="%9."/>
      <w:lvlJc w:val="left"/>
      <w:pPr>
        <w:ind w:left="6300" w:hanging="0"/>
      </w:pPr>
      <w:rPr>
        <w:rFonts w:cs="Times New Roman"/>
      </w:rPr>
    </w:lvl>
  </w:abstractNum>
  <w:abstractNum w:abstractNumId="32">
    <w:multiLevelType w:val="hybridMultilevel"/>
    <w:name w:val="Нумерованный список 32"/>
    <w:lvl w:ilvl="0">
      <w:start w:val="1"/>
      <w:numFmt w:val="decimal"/>
      <w:suff w:val="tab"/>
      <w:lvlText w:val="%1."/>
      <w:lvlJc w:val="left"/>
      <w:pPr>
        <w:ind w:left="360" w:hanging="0"/>
      </w:pPr>
    </w:lvl>
    <w:lvl w:ilvl="1">
      <w:start w:val="3"/>
      <w:numFmt w:val="decimal"/>
      <w:suff w:val="tab"/>
      <w:lvlText w:val="%1.%2."/>
      <w:lvlJc w:val="left"/>
      <w:pPr>
        <w:ind w:left="534" w:hanging="0"/>
      </w:pPr>
    </w:lvl>
    <w:lvl w:ilvl="2">
      <w:start w:val="1"/>
      <w:numFmt w:val="decimal"/>
      <w:suff w:val="tab"/>
      <w:lvlText w:val="%1.%2.%3."/>
      <w:lvlJc w:val="left"/>
      <w:pPr>
        <w:ind w:left="708" w:hanging="0"/>
      </w:pPr>
    </w:lvl>
    <w:lvl w:ilvl="3">
      <w:start w:val="1"/>
      <w:numFmt w:val="decimal"/>
      <w:suff w:val="tab"/>
      <w:lvlText w:val="%1.%2.%3.%4."/>
      <w:lvlJc w:val="left"/>
      <w:pPr>
        <w:ind w:left="882" w:hanging="0"/>
      </w:pPr>
    </w:lvl>
    <w:lvl w:ilvl="4">
      <w:start w:val="1"/>
      <w:numFmt w:val="decimal"/>
      <w:suff w:val="tab"/>
      <w:lvlText w:val="%1.%2.%3.%4.%5."/>
      <w:lvlJc w:val="left"/>
      <w:pPr>
        <w:ind w:left="1056" w:hanging="0"/>
      </w:pPr>
    </w:lvl>
    <w:lvl w:ilvl="5">
      <w:start w:val="1"/>
      <w:numFmt w:val="decimal"/>
      <w:suff w:val="tab"/>
      <w:lvlText w:val="%1.%2.%3.%4.%5.%6."/>
      <w:lvlJc w:val="left"/>
      <w:pPr>
        <w:ind w:left="1230" w:hanging="0"/>
      </w:pPr>
    </w:lvl>
    <w:lvl w:ilvl="6">
      <w:start w:val="1"/>
      <w:numFmt w:val="decimal"/>
      <w:suff w:val="tab"/>
      <w:lvlText w:val="%1.%2.%3.%4.%5.%6.%7."/>
      <w:lvlJc w:val="left"/>
      <w:pPr>
        <w:ind w:left="1404" w:hanging="0"/>
      </w:pPr>
    </w:lvl>
    <w:lvl w:ilvl="7">
      <w:start w:val="1"/>
      <w:numFmt w:val="decimal"/>
      <w:suff w:val="tab"/>
      <w:lvlText w:val="%1.%2.%3.%4.%5.%6.%7.%8."/>
      <w:lvlJc w:val="left"/>
      <w:pPr>
        <w:ind w:left="1578" w:hanging="0"/>
      </w:pPr>
    </w:lvl>
    <w:lvl w:ilvl="8">
      <w:start w:val="1"/>
      <w:numFmt w:val="decimal"/>
      <w:suff w:val="tab"/>
      <w:lvlText w:val="%1.%2.%3.%4.%5.%6.%7.%8.%9."/>
      <w:lvlJc w:val="left"/>
      <w:pPr>
        <w:ind w:left="1752" w:hanging="0"/>
      </w:pPr>
    </w:lvl>
  </w:abstractNum>
  <w:abstractNum w:abstractNumId="33">
    <w:multiLevelType w:val="hybridMultilevel"/>
    <w:name w:val="Нумерованный список 33"/>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numFmt w:val="bullet"/>
      <w:suff w:val="tab"/>
      <w:lvlText w:val=""/>
      <w:lvlJc w:val="left"/>
      <w:pPr>
        <w:ind w:left="1062" w:hanging="0"/>
      </w:pPr>
      <w:rPr>
        <w:rFonts w:ascii="Wingdings" w:hAnsi="Wingdings"/>
      </w:r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34">
    <w:multiLevelType w:val="hybridMultilevel"/>
    <w:name w:val="Нумерованный список 34"/>
    <w:lvl w:ilvl="0">
      <w:start w:val="1"/>
      <w:numFmt w:val="decimal"/>
      <w:suff w:val="tab"/>
      <w:lvlText w:val="%1."/>
      <w:lvlJc w:val="left"/>
      <w:pPr>
        <w:ind w:left="567" w:hanging="0"/>
      </w:pPr>
    </w:lvl>
    <w:lvl w:ilvl="1">
      <w:start w:val="1"/>
      <w:numFmt w:val="lowerLetter"/>
      <w:suff w:val="tab"/>
      <w:lvlText w:val="%2."/>
      <w:lvlJc w:val="left"/>
      <w:pPr>
        <w:ind w:left="1287" w:hanging="0"/>
      </w:pPr>
    </w:lvl>
    <w:lvl w:ilvl="2">
      <w:start w:val="1"/>
      <w:numFmt w:val="lowerRoman"/>
      <w:suff w:val="tab"/>
      <w:lvlText w:val="%3."/>
      <w:lvlJc w:val="left"/>
      <w:pPr>
        <w:ind w:left="2187" w:hanging="0"/>
      </w:pPr>
    </w:lvl>
    <w:lvl w:ilvl="3">
      <w:start w:val="1"/>
      <w:numFmt w:val="decimal"/>
      <w:suff w:val="tab"/>
      <w:lvlText w:val="%4."/>
      <w:lvlJc w:val="left"/>
      <w:pPr>
        <w:ind w:left="2727" w:hanging="0"/>
      </w:pPr>
    </w:lvl>
    <w:lvl w:ilvl="4">
      <w:start w:val="1"/>
      <w:numFmt w:val="lowerLetter"/>
      <w:suff w:val="tab"/>
      <w:lvlText w:val="%5."/>
      <w:lvlJc w:val="left"/>
      <w:pPr>
        <w:ind w:left="3447" w:hanging="0"/>
      </w:pPr>
    </w:lvl>
    <w:lvl w:ilvl="5">
      <w:start w:val="1"/>
      <w:numFmt w:val="lowerRoman"/>
      <w:suff w:val="tab"/>
      <w:lvlText w:val="%6."/>
      <w:lvlJc w:val="left"/>
      <w:pPr>
        <w:ind w:left="4347" w:hanging="0"/>
      </w:pPr>
    </w:lvl>
    <w:lvl w:ilvl="6">
      <w:start w:val="1"/>
      <w:numFmt w:val="decimal"/>
      <w:suff w:val="tab"/>
      <w:lvlText w:val="%7."/>
      <w:lvlJc w:val="left"/>
      <w:pPr>
        <w:ind w:left="4887" w:hanging="0"/>
      </w:pPr>
    </w:lvl>
    <w:lvl w:ilvl="7">
      <w:start w:val="1"/>
      <w:numFmt w:val="lowerLetter"/>
      <w:suff w:val="tab"/>
      <w:lvlText w:val="%8."/>
      <w:lvlJc w:val="left"/>
      <w:pPr>
        <w:ind w:left="5607" w:hanging="0"/>
      </w:pPr>
    </w:lvl>
    <w:lvl w:ilvl="8">
      <w:start w:val="1"/>
      <w:numFmt w:val="lowerRoman"/>
      <w:suff w:val="tab"/>
      <w:lvlText w:val="%9."/>
      <w:lvlJc w:val="left"/>
      <w:pPr>
        <w:ind w:left="6507" w:hanging="0"/>
      </w:pPr>
    </w:lvl>
  </w:abstractNum>
  <w:abstractNum w:abstractNumId="35">
    <w:multiLevelType w:val="hybridMultilevel"/>
    <w:name w:val="Нумерованный список 35"/>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numFmt w:val="bullet"/>
      <w:suff w:val="tab"/>
      <w:lvlText w:val=""/>
      <w:lvlJc w:val="left"/>
      <w:pPr>
        <w:ind w:left="1062" w:hanging="0"/>
      </w:pPr>
      <w:rPr>
        <w:rFonts w:ascii="Symbol" w:hAnsi="Symbol"/>
      </w:r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36">
    <w:multiLevelType w:val="hybridMultilevel"/>
    <w:name w:val="Нумерованный список 36"/>
    <w:lvl w:ilvl="0">
      <w:start w:val="10"/>
      <w:numFmt w:val="decimal"/>
      <w:suff w:val="tab"/>
      <w:lvlText w:val="%1."/>
      <w:lvlJc w:val="left"/>
      <w:pPr>
        <w:ind w:left="0" w:hanging="0"/>
      </w:pPr>
      <w:rPr>
        <w:rFonts w:ascii="Cambria" w:hAnsi="Cambria"/>
      </w:rPr>
    </w:lvl>
    <w:lvl w:ilvl="1">
      <w:start w:val="1"/>
      <w:numFmt w:val="decimal"/>
      <w:suff w:val="tab"/>
      <w:lvlText w:val="%1.%2."/>
      <w:lvlJc w:val="left"/>
      <w:pPr>
        <w:ind w:left="360" w:hanging="0"/>
      </w:pPr>
      <w:rPr>
        <w:rFonts w:ascii="Times New Roman" w:hAnsi="Times New Roman" w:cs="Times New Roman"/>
      </w:rPr>
    </w:lvl>
    <w:lvl w:ilvl="2">
      <w:start w:val="1"/>
      <w:numFmt w:val="decimal"/>
      <w:suff w:val="tab"/>
      <w:lvlText w:val="%1.%2.%3."/>
      <w:lvlJc w:val="left"/>
      <w:pPr>
        <w:ind w:left="720" w:hanging="0"/>
      </w:pPr>
      <w:rPr>
        <w:rFonts w:ascii="Cambria" w:hAnsi="Cambria"/>
      </w:rPr>
    </w:lvl>
    <w:lvl w:ilvl="3">
      <w:start w:val="1"/>
      <w:numFmt w:val="decimal"/>
      <w:suff w:val="tab"/>
      <w:lvlText w:val="%1.%2.%3.%4."/>
      <w:lvlJc w:val="left"/>
      <w:pPr>
        <w:ind w:left="1080" w:hanging="0"/>
      </w:pPr>
      <w:rPr>
        <w:rFonts w:ascii="Cambria" w:hAnsi="Cambria"/>
      </w:rPr>
    </w:lvl>
    <w:lvl w:ilvl="4">
      <w:start w:val="1"/>
      <w:numFmt w:val="decimal"/>
      <w:suff w:val="tab"/>
      <w:lvlText w:val="%1.%2.%3.%4.%5."/>
      <w:lvlJc w:val="left"/>
      <w:pPr>
        <w:ind w:left="1440" w:hanging="0"/>
      </w:pPr>
      <w:rPr>
        <w:rFonts w:ascii="Cambria" w:hAnsi="Cambria"/>
      </w:rPr>
    </w:lvl>
    <w:lvl w:ilvl="5">
      <w:start w:val="1"/>
      <w:numFmt w:val="decimal"/>
      <w:suff w:val="tab"/>
      <w:lvlText w:val="%1.%2.%3.%4.%5.%6."/>
      <w:lvlJc w:val="left"/>
      <w:pPr>
        <w:ind w:left="1800" w:hanging="0"/>
      </w:pPr>
      <w:rPr>
        <w:rFonts w:ascii="Cambria" w:hAnsi="Cambria"/>
      </w:rPr>
    </w:lvl>
    <w:lvl w:ilvl="6">
      <w:start w:val="1"/>
      <w:numFmt w:val="decimal"/>
      <w:suff w:val="tab"/>
      <w:lvlText w:val="%1.%2.%3.%4.%5.%6.%7."/>
      <w:lvlJc w:val="left"/>
      <w:pPr>
        <w:ind w:left="2160" w:hanging="0"/>
      </w:pPr>
      <w:rPr>
        <w:rFonts w:ascii="Cambria" w:hAnsi="Cambria"/>
      </w:rPr>
    </w:lvl>
    <w:lvl w:ilvl="7">
      <w:start w:val="1"/>
      <w:numFmt w:val="decimal"/>
      <w:suff w:val="tab"/>
      <w:lvlText w:val="%1.%2.%3.%4.%5.%6.%7.%8."/>
      <w:lvlJc w:val="left"/>
      <w:pPr>
        <w:ind w:left="2520" w:hanging="0"/>
      </w:pPr>
      <w:rPr>
        <w:rFonts w:ascii="Cambria" w:hAnsi="Cambria"/>
      </w:rPr>
    </w:lvl>
    <w:lvl w:ilvl="8">
      <w:start w:val="1"/>
      <w:numFmt w:val="decimal"/>
      <w:suff w:val="tab"/>
      <w:lvlText w:val="%1.%2.%3.%4.%5.%6.%7.%8.%9."/>
      <w:lvlJc w:val="left"/>
      <w:pPr>
        <w:ind w:left="2880" w:hanging="0"/>
      </w:pPr>
      <w:rPr>
        <w:rFonts w:ascii="Cambria" w:hAnsi="Cambria"/>
      </w:rPr>
    </w:lvl>
  </w:abstractNum>
  <w:abstractNum w:abstractNumId="37">
    <w:multiLevelType w:val="hybridMultilevel"/>
    <w:name w:val="Нумерованный список 37"/>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start w:val="1"/>
      <w:numFmt w:val="decimal"/>
      <w:suff w:val="tab"/>
      <w:lvlText w:val="%1.%2.%3.%4."/>
      <w:lvlJc w:val="left"/>
      <w:pPr>
        <w:ind w:left="1062" w:hanging="0"/>
      </w:p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2049"/>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3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0"/>
      <w:tmLastPosIdx w:val="27"/>
    </w:tmLastPosCaret>
    <w:tmLastPosAnchor>
      <w:tmLastPosPgfIdx w:val="0"/>
      <w:tmLastPosIdx w:val="0"/>
    </w:tmLastPosAnchor>
    <w:tmLastPosTblRect w:left="0" w:top="0" w:right="0" w:bottom="0"/>
  </w:tmLastPos>
  <w:tmAppRevision w:date="1696180305"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ambria" w:hAnsi="Cambria" w:eastAsia="Times New Roman" w:cs="Cambria"/>
    </w:rPr>
  </w:style>
  <w:style w:type="paragraph" w:styleId="para1">
    <w:name w:val="heading 1"/>
    <w:qFormat/>
    <w:basedOn w:val="para0"/>
    <w:pPr>
      <w:outlineLvl w:val="0"/>
    </w:pPr>
    <w:rPr>
      <w:rFonts w:cs="Times New Roman"/>
      <w:b/>
      <w:bCs/>
      <w:color w:val="003073"/>
      <w:sz w:val="26"/>
      <w:szCs w:val="26"/>
    </w:rPr>
  </w:style>
  <w:style w:type="paragraph" w:styleId="para2">
    <w:name w:val="Header"/>
    <w:qFormat/>
    <w:basedOn w:val="para0"/>
    <w:pPr>
      <w:tabs defTabSz="708">
        <w:tab w:val="center" w:pos="4677" w:leader="none"/>
        <w:tab w:val="right" w:pos="9355" w:leader="none"/>
      </w:tabs>
    </w:pPr>
    <w:rPr>
      <w:rFonts w:cs="Times New Roman"/>
      <w:sz w:val="20"/>
      <w:szCs w:val="20"/>
    </w:rPr>
  </w:style>
  <w:style w:type="paragraph" w:styleId="para3" w:customStyle="1">
    <w:name w:val="Стиль"/>
    <w:qFormat/>
    <w:pPr>
      <w:spacing/>
      <w:jc w:val="left"/>
      <w:widowControl w:val="0"/>
    </w:pPr>
    <w:rPr>
      <w:rFonts w:ascii="Calibri" w:hAnsi="Calibri" w:eastAsia="Calibri"/>
      <w:sz w:val="24"/>
      <w:szCs w:val="24"/>
      <w:lang w:val="ru-ru" w:eastAsia="zh-cn" w:bidi="ar-sa"/>
    </w:rPr>
  </w:style>
  <w:style w:type="paragraph" w:styleId="para4">
    <w:name w:val="List Paragraph"/>
    <w:qFormat/>
    <w:basedOn w:val="para0"/>
    <w:pPr>
      <w:ind w:left="720"/>
      <w:spacing/>
      <w:contextualSpacing/>
      <w:jc w:val="left"/>
    </w:pPr>
    <w:rPr>
      <w:rFonts w:ascii="Times New Roman" w:hAnsi="Times New Roman" w:cs="Times New Roman"/>
      <w:sz w:val="24"/>
      <w:szCs w:val="24"/>
    </w:rPr>
  </w:style>
  <w:style w:type="paragraph" w:styleId="para5">
    <w:name w:val="Title"/>
    <w:qFormat/>
    <w:basedOn w:val="para0"/>
    <w:next w:val="para0"/>
    <w:pPr>
      <w:spacing w:after="300"/>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eastAsia="Cambria"/>
      <w:color w:val="17365d"/>
      <w:spacing w:val="6"/>
      <w:kern w:val="1"/>
      <w:sz w:val="52"/>
      <w:szCs w:val="52"/>
    </w:rPr>
  </w:style>
  <w:style w:type="paragraph" w:styleId="para6">
    <w:name w:val="Balloon Text"/>
    <w:qFormat/>
    <w:basedOn w:val="para0"/>
    <w:rPr>
      <w:rFonts w:ascii="Tahoma" w:hAnsi="Tahoma" w:cs="Tahoma"/>
      <w:sz w:val="16"/>
      <w:szCs w:val="16"/>
    </w:rPr>
  </w:style>
  <w:style w:type="paragraph" w:styleId="para7">
    <w:name w:val="Footer"/>
    <w:qFormat/>
    <w:basedOn w:val="para0"/>
    <w:pPr>
      <w:tabs defTabSz="708">
        <w:tab w:val="center" w:pos="4677" w:leader="none"/>
        <w:tab w:val="right" w:pos="9355" w:leader="none"/>
      </w:tabs>
    </w:pPr>
  </w:style>
  <w:style w:type="paragraph" w:styleId="para8">
    <w:name w:val="Body Text"/>
    <w:qFormat/>
    <w:basedOn w:val="para0"/>
    <w:rPr>
      <w:rFonts w:ascii="Bookman Old Style" w:hAnsi="Bookman Old Style" w:cs="Times New Roman"/>
      <w:sz w:val="24"/>
      <w:szCs w:val="20"/>
    </w:rPr>
  </w:style>
  <w:style w:type="paragraph" w:styleId="para9" w:customStyle="1">
    <w:name w:val="annotation text"/>
    <w:qFormat/>
    <w:basedOn w:val="para0"/>
    <w:rPr>
      <w:sz w:val="20"/>
      <w:szCs w:val="20"/>
    </w:rPr>
  </w:style>
  <w:style w:type="paragraph" w:styleId="para10" w:customStyle="1">
    <w:name w:val="annotation subject"/>
    <w:qFormat/>
    <w:basedOn w:val="para9"/>
    <w:next w:val="para9"/>
    <w:rPr>
      <w:b/>
      <w:bCs/>
    </w:rPr>
  </w:style>
  <w:style w:type="character" w:styleId="char0" w:default="1">
    <w:name w:val="Default Paragraph Font"/>
  </w:style>
  <w:style w:type="character" w:styleId="char1" w:customStyle="1">
    <w:name w:val="Heading 1 Char"/>
    <w:basedOn w:val="char0"/>
    <w:rPr>
      <w:rFonts w:ascii="Cambria" w:hAnsi="Cambria" w:eastAsia="Times New Roman" w:cs="Times New Roman"/>
      <w:b/>
      <w:bCs/>
      <w:color w:val="003073"/>
      <w:kern w:val="0"/>
      <w:sz w:val="26"/>
      <w:szCs w:val="26"/>
    </w:rPr>
  </w:style>
  <w:style w:type="character" w:styleId="char2">
    <w:name w:val="Strong"/>
    <w:rPr>
      <w:rFonts w:cs="Times New Roman"/>
      <w:b/>
      <w:bCs/>
    </w:rPr>
  </w:style>
  <w:style w:type="character" w:styleId="char3" w:customStyle="1">
    <w:name w:val="Header Char"/>
    <w:basedOn w:val="char0"/>
    <w:rPr>
      <w:rFonts w:ascii="Cambria" w:hAnsi="Cambria" w:eastAsia="Times New Roman" w:cs="Times New Roman"/>
      <w:sz w:val="20"/>
      <w:szCs w:val="20"/>
    </w:rPr>
  </w:style>
  <w:style w:type="character" w:styleId="char4" w:customStyle="1">
    <w:name w:val="Font Style11"/>
    <w:rPr>
      <w:rFonts w:ascii="Times New Roman" w:hAnsi="Times New Roman" w:cs="Times New Roman"/>
      <w:sz w:val="22"/>
      <w:szCs w:val="22"/>
    </w:rPr>
  </w:style>
  <w:style w:type="character" w:styleId="char5" w:customStyle="1">
    <w:name w:val="Title Char"/>
    <w:basedOn w:val="char0"/>
    <w:rPr>
      <w:rFonts w:ascii="Cambria" w:hAnsi="Cambria" w:eastAsia="Cambria"/>
      <w:color w:val="17365d"/>
      <w:spacing w:val="6"/>
      <w:kern w:val="1"/>
      <w:sz w:val="52"/>
      <w:szCs w:val="52"/>
    </w:rPr>
  </w:style>
  <w:style w:type="character" w:styleId="char6" w:customStyle="1">
    <w:name w:val="Balloon Text Char"/>
    <w:basedOn w:val="char0"/>
    <w:rPr>
      <w:rFonts w:ascii="Tahoma" w:hAnsi="Tahoma" w:eastAsia="Times New Roman" w:cs="Tahoma"/>
      <w:sz w:val="16"/>
      <w:szCs w:val="16"/>
    </w:rPr>
  </w:style>
  <w:style w:type="character" w:styleId="char7" w:customStyle="1">
    <w:name w:val="Footer Char"/>
    <w:basedOn w:val="char0"/>
    <w:rPr>
      <w:rFonts w:ascii="Cambria" w:hAnsi="Cambria" w:eastAsia="Times New Roman" w:cs="Cambria"/>
    </w:rPr>
  </w:style>
  <w:style w:type="character" w:styleId="char8" w:customStyle="1">
    <w:name w:val="Body Text Char"/>
    <w:basedOn w:val="char0"/>
    <w:rPr>
      <w:rFonts w:ascii="Bookman Old Style" w:hAnsi="Bookman Old Style" w:eastAsia="Times New Roman" w:cs="Times New Roman"/>
      <w:sz w:val="24"/>
      <w:szCs w:val="20"/>
    </w:rPr>
  </w:style>
  <w:style w:type="character" w:styleId="char9" w:customStyle="1">
    <w:name w:val="text-left"/>
    <w:basedOn w:val="char0"/>
  </w:style>
  <w:style w:type="character" w:styleId="char10" w:customStyle="1">
    <w:name w:val="annotation reference"/>
    <w:basedOn w:val="char0"/>
    <w:rPr>
      <w:sz w:val="16"/>
      <w:szCs w:val="16"/>
    </w:rPr>
  </w:style>
  <w:style w:type="character" w:styleId="char11" w:customStyle="1">
    <w:name w:val="Comment Text Char"/>
    <w:basedOn w:val="char0"/>
    <w:rPr>
      <w:rFonts w:ascii="Cambria" w:hAnsi="Cambria" w:eastAsia="Times New Roman" w:cs="Cambria"/>
      <w:sz w:val="20"/>
      <w:szCs w:val="20"/>
    </w:rPr>
  </w:style>
  <w:style w:type="character" w:styleId="char12" w:customStyle="1">
    <w:name w:val="Comment Subject Char"/>
    <w:basedOn w:val="char11"/>
    <w:rPr>
      <w:b/>
      <w:b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ambria" w:hAnsi="Cambria" w:eastAsia="Times New Roman" w:cs="Cambria"/>
    </w:rPr>
  </w:style>
  <w:style w:type="paragraph" w:styleId="para1">
    <w:name w:val="heading 1"/>
    <w:qFormat/>
    <w:basedOn w:val="para0"/>
    <w:pPr>
      <w:outlineLvl w:val="0"/>
    </w:pPr>
    <w:rPr>
      <w:rFonts w:cs="Times New Roman"/>
      <w:b/>
      <w:bCs/>
      <w:color w:val="003073"/>
      <w:sz w:val="26"/>
      <w:szCs w:val="26"/>
    </w:rPr>
  </w:style>
  <w:style w:type="paragraph" w:styleId="para2">
    <w:name w:val="Header"/>
    <w:qFormat/>
    <w:basedOn w:val="para0"/>
    <w:pPr>
      <w:tabs defTabSz="708">
        <w:tab w:val="center" w:pos="4677" w:leader="none"/>
        <w:tab w:val="right" w:pos="9355" w:leader="none"/>
      </w:tabs>
    </w:pPr>
    <w:rPr>
      <w:rFonts w:cs="Times New Roman"/>
      <w:sz w:val="20"/>
      <w:szCs w:val="20"/>
    </w:rPr>
  </w:style>
  <w:style w:type="paragraph" w:styleId="para3" w:customStyle="1">
    <w:name w:val="Стиль"/>
    <w:qFormat/>
    <w:pPr>
      <w:spacing/>
      <w:jc w:val="left"/>
      <w:widowControl w:val="0"/>
    </w:pPr>
    <w:rPr>
      <w:rFonts w:ascii="Calibri" w:hAnsi="Calibri" w:eastAsia="Calibri"/>
      <w:sz w:val="24"/>
      <w:szCs w:val="24"/>
      <w:lang w:val="ru-ru" w:eastAsia="zh-cn" w:bidi="ar-sa"/>
    </w:rPr>
  </w:style>
  <w:style w:type="paragraph" w:styleId="para4">
    <w:name w:val="List Paragraph"/>
    <w:qFormat/>
    <w:basedOn w:val="para0"/>
    <w:pPr>
      <w:ind w:left="720"/>
      <w:spacing/>
      <w:contextualSpacing/>
      <w:jc w:val="left"/>
    </w:pPr>
    <w:rPr>
      <w:rFonts w:ascii="Times New Roman" w:hAnsi="Times New Roman" w:cs="Times New Roman"/>
      <w:sz w:val="24"/>
      <w:szCs w:val="24"/>
    </w:rPr>
  </w:style>
  <w:style w:type="paragraph" w:styleId="para5">
    <w:name w:val="Title"/>
    <w:qFormat/>
    <w:basedOn w:val="para0"/>
    <w:next w:val="para0"/>
    <w:pPr>
      <w:spacing w:after="300"/>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eastAsia="Cambria"/>
      <w:color w:val="17365d"/>
      <w:spacing w:val="6"/>
      <w:kern w:val="1"/>
      <w:sz w:val="52"/>
      <w:szCs w:val="52"/>
    </w:rPr>
  </w:style>
  <w:style w:type="paragraph" w:styleId="para6">
    <w:name w:val="Balloon Text"/>
    <w:qFormat/>
    <w:basedOn w:val="para0"/>
    <w:rPr>
      <w:rFonts w:ascii="Tahoma" w:hAnsi="Tahoma" w:cs="Tahoma"/>
      <w:sz w:val="16"/>
      <w:szCs w:val="16"/>
    </w:rPr>
  </w:style>
  <w:style w:type="paragraph" w:styleId="para7">
    <w:name w:val="Footer"/>
    <w:qFormat/>
    <w:basedOn w:val="para0"/>
    <w:pPr>
      <w:tabs defTabSz="708">
        <w:tab w:val="center" w:pos="4677" w:leader="none"/>
        <w:tab w:val="right" w:pos="9355" w:leader="none"/>
      </w:tabs>
    </w:pPr>
  </w:style>
  <w:style w:type="paragraph" w:styleId="para8">
    <w:name w:val="Body Text"/>
    <w:qFormat/>
    <w:basedOn w:val="para0"/>
    <w:rPr>
      <w:rFonts w:ascii="Bookman Old Style" w:hAnsi="Bookman Old Style" w:cs="Times New Roman"/>
      <w:sz w:val="24"/>
      <w:szCs w:val="20"/>
    </w:rPr>
  </w:style>
  <w:style w:type="paragraph" w:styleId="para9" w:customStyle="1">
    <w:name w:val="annotation text"/>
    <w:qFormat/>
    <w:basedOn w:val="para0"/>
    <w:rPr>
      <w:sz w:val="20"/>
      <w:szCs w:val="20"/>
    </w:rPr>
  </w:style>
  <w:style w:type="paragraph" w:styleId="para10" w:customStyle="1">
    <w:name w:val="annotation subject"/>
    <w:qFormat/>
    <w:basedOn w:val="para9"/>
    <w:next w:val="para9"/>
    <w:rPr>
      <w:b/>
      <w:bCs/>
    </w:rPr>
  </w:style>
  <w:style w:type="character" w:styleId="char0" w:default="1">
    <w:name w:val="Default Paragraph Font"/>
  </w:style>
  <w:style w:type="character" w:styleId="char1" w:customStyle="1">
    <w:name w:val="Heading 1 Char"/>
    <w:basedOn w:val="char0"/>
    <w:rPr>
      <w:rFonts w:ascii="Cambria" w:hAnsi="Cambria" w:eastAsia="Times New Roman" w:cs="Times New Roman"/>
      <w:b/>
      <w:bCs/>
      <w:color w:val="003073"/>
      <w:kern w:val="0"/>
      <w:sz w:val="26"/>
      <w:szCs w:val="26"/>
    </w:rPr>
  </w:style>
  <w:style w:type="character" w:styleId="char2">
    <w:name w:val="Strong"/>
    <w:rPr>
      <w:rFonts w:cs="Times New Roman"/>
      <w:b/>
      <w:bCs/>
    </w:rPr>
  </w:style>
  <w:style w:type="character" w:styleId="char3" w:customStyle="1">
    <w:name w:val="Header Char"/>
    <w:basedOn w:val="char0"/>
    <w:rPr>
      <w:rFonts w:ascii="Cambria" w:hAnsi="Cambria" w:eastAsia="Times New Roman" w:cs="Times New Roman"/>
      <w:sz w:val="20"/>
      <w:szCs w:val="20"/>
    </w:rPr>
  </w:style>
  <w:style w:type="character" w:styleId="char4" w:customStyle="1">
    <w:name w:val="Font Style11"/>
    <w:rPr>
      <w:rFonts w:ascii="Times New Roman" w:hAnsi="Times New Roman" w:cs="Times New Roman"/>
      <w:sz w:val="22"/>
      <w:szCs w:val="22"/>
    </w:rPr>
  </w:style>
  <w:style w:type="character" w:styleId="char5" w:customStyle="1">
    <w:name w:val="Title Char"/>
    <w:basedOn w:val="char0"/>
    <w:rPr>
      <w:rFonts w:ascii="Cambria" w:hAnsi="Cambria" w:eastAsia="Cambria"/>
      <w:color w:val="17365d"/>
      <w:spacing w:val="6"/>
      <w:kern w:val="1"/>
      <w:sz w:val="52"/>
      <w:szCs w:val="52"/>
    </w:rPr>
  </w:style>
  <w:style w:type="character" w:styleId="char6" w:customStyle="1">
    <w:name w:val="Balloon Text Char"/>
    <w:basedOn w:val="char0"/>
    <w:rPr>
      <w:rFonts w:ascii="Tahoma" w:hAnsi="Tahoma" w:eastAsia="Times New Roman" w:cs="Tahoma"/>
      <w:sz w:val="16"/>
      <w:szCs w:val="16"/>
    </w:rPr>
  </w:style>
  <w:style w:type="character" w:styleId="char7" w:customStyle="1">
    <w:name w:val="Footer Char"/>
    <w:basedOn w:val="char0"/>
    <w:rPr>
      <w:rFonts w:ascii="Cambria" w:hAnsi="Cambria" w:eastAsia="Times New Roman" w:cs="Cambria"/>
    </w:rPr>
  </w:style>
  <w:style w:type="character" w:styleId="char8" w:customStyle="1">
    <w:name w:val="Body Text Char"/>
    <w:basedOn w:val="char0"/>
    <w:rPr>
      <w:rFonts w:ascii="Bookman Old Style" w:hAnsi="Bookman Old Style" w:eastAsia="Times New Roman" w:cs="Times New Roman"/>
      <w:sz w:val="24"/>
      <w:szCs w:val="20"/>
    </w:rPr>
  </w:style>
  <w:style w:type="character" w:styleId="char9" w:customStyle="1">
    <w:name w:val="text-left"/>
    <w:basedOn w:val="char0"/>
  </w:style>
  <w:style w:type="character" w:styleId="char10" w:customStyle="1">
    <w:name w:val="annotation reference"/>
    <w:basedOn w:val="char0"/>
    <w:rPr>
      <w:sz w:val="16"/>
      <w:szCs w:val="16"/>
    </w:rPr>
  </w:style>
  <w:style w:type="character" w:styleId="char11" w:customStyle="1">
    <w:name w:val="Comment Text Char"/>
    <w:basedOn w:val="char0"/>
    <w:rPr>
      <w:rFonts w:ascii="Cambria" w:hAnsi="Cambria" w:eastAsia="Times New Roman" w:cs="Cambria"/>
      <w:sz w:val="20"/>
      <w:szCs w:val="20"/>
    </w:rPr>
  </w:style>
  <w:style w:type="character" w:styleId="char12" w:customStyle="1">
    <w:name w:val="Comment Subject Char"/>
    <w:basedOn w:val="char11"/>
    <w:rPr>
      <w:b/>
      <w:b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Times New Roman"/>
        <a:cs typeface="Times New Roman"/>
      </a:majorFont>
      <a:minorFont>
        <a:latin typeface="Cambria"/>
        <a:ea typeface="Times New Roman"/>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
  <cp:revision>31</cp:revision>
  <cp:lastPrinted>2022-08-26T05:59:00Z</cp:lastPrinted>
  <dcterms:created xsi:type="dcterms:W3CDTF">2022-08-15T11:11:00Z</dcterms:created>
  <dcterms:modified xsi:type="dcterms:W3CDTF">2023-10-01T17:11:45Z</dcterms:modified>
</cp:coreProperties>
</file>