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38EEB70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D801DB" w:rsidRPr="00D801DB">
        <w:rPr>
          <w:rFonts w:ascii="Times New Roman" w:hAnsi="Times New Roman"/>
          <w:b/>
          <w:bCs/>
          <w:lang w:val="uz-Cyrl-UZ"/>
        </w:rPr>
        <w:t xml:space="preserve">ЖШШИР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ListParagraph"/>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1D2D19"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50E1ACF2"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A388" w14:textId="77777777" w:rsidR="00B07986" w:rsidRDefault="00B07986" w:rsidP="005755B2">
      <w:pPr>
        <w:spacing w:after="0" w:line="240" w:lineRule="auto"/>
      </w:pPr>
      <w:r>
        <w:separator/>
      </w:r>
    </w:p>
  </w:endnote>
  <w:endnote w:type="continuationSeparator" w:id="0">
    <w:p w14:paraId="5459F1FD" w14:textId="77777777" w:rsidR="00B07986" w:rsidRDefault="00B07986"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9C5A" w14:textId="77777777" w:rsidR="00B07986" w:rsidRDefault="00B07986" w:rsidP="005755B2">
      <w:pPr>
        <w:spacing w:after="0" w:line="240" w:lineRule="auto"/>
      </w:pPr>
      <w:r>
        <w:separator/>
      </w:r>
    </w:p>
  </w:footnote>
  <w:footnote w:type="continuationSeparator" w:id="0">
    <w:p w14:paraId="42987922" w14:textId="77777777" w:rsidR="00B07986" w:rsidRDefault="00B07986"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16</Pages>
  <Words>6494</Words>
  <Characters>37018</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9</cp:revision>
  <cp:lastPrinted>2023-10-07T10:39:00Z</cp:lastPrinted>
  <dcterms:created xsi:type="dcterms:W3CDTF">2023-10-25T14:06:00Z</dcterms:created>
  <dcterms:modified xsi:type="dcterms:W3CDTF">2023-10-28T04:13:00Z</dcterms:modified>
</cp:coreProperties>
</file>