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b/>
          <w:sz w:val="28"/>
        </w:rPr>
        <w:t>Application Evaluation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7"/>
        <w:gridCol w:w="4867"/>
      </w:tblGrid>
      <w:tr>
        <w:tc>
          <w:tcPr>
            <w:tcW w:type="dxa" w:w="487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Comments (by committee)</w:t>
            </w:r>
          </w:p>
        </w:tc>
        <w:tc>
          <w:tcPr>
            <w:tcW w:type="dxa" w:w="487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Action Taken</w:t>
            </w:r>
          </w:p>
        </w:tc>
      </w:tr>
      <w:tr>
        <w:tc>
          <w:tcPr>
            <w:tcW w:type="dxa" w:w="4867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FYP-0 (Spring 2026): Project accepted with minor revisions. Expand beyond campaign generation to a complete AI/engineering workflow.</w:t>
            </w:r>
          </w:p>
        </w:tc>
        <w:tc>
          <w:tcPr>
            <w:tcW w:type="dxa" w:w="4867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Proposed an end-to-end workflow covering generation, evaluation, historical learning, recommendation, deployment, observation and optimization.</w:t>
            </w:r>
          </w:p>
        </w:tc>
      </w:tr>
      <w:tr>
        <w:tc>
          <w:tcPr>
            <w:tcW w:type="dxa" w:w="4867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FYP-0 (Spring 2026): Incorporate human oversight throughout the AI pipeline.</w:t>
            </w:r>
          </w:p>
        </w:tc>
        <w:tc>
          <w:tcPr>
            <w:tcW w:type="dxa" w:w="4867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Included human review and approval checkpoints in the proposed workflow before campaign deployment and optimization.</w:t>
            </w:r>
          </w:p>
        </w:tc>
      </w:tr>
      <w:tr>
        <w:tc>
          <w:tcPr>
            <w:tcW w:type="dxa" w:w="4867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FYP-1 (Fall 2026): Define AI intelligence, evaluation, personalization and optimization mechanisms beyond basic API integration.</w:t>
            </w:r>
          </w:p>
        </w:tc>
        <w:tc>
          <w:tcPr>
            <w:tcW w:type="dxa" w:w="4867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Refined the proposed AI pipeline to include measurable evaluation criteria, campaign-history-based recommendations, personalization and performance-driven optimization.</w:t>
            </w:r>
          </w:p>
        </w:tc>
      </w:tr>
    </w:tbl>
    <w:p>
      <w:pPr>
        <w:spacing w:before="840"/>
      </w:pPr>
      <w:r>
        <w:rPr>
          <w:b/>
        </w:rPr>
        <w:t>Supervised by</w:t>
      </w:r>
    </w:p>
    <w:p>
      <w:r>
        <w:t>Supervisor’s Name: ____________________________________</w:t>
      </w:r>
    </w:p>
    <w:p>
      <w:pPr>
        <w:spacing w:before="280"/>
      </w:pPr>
      <w:r>
        <w:t>Signature: __________________________________________</w:t>
      </w:r>
    </w:p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