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Collaboration Proposal: ID Future Stars (IDFS) &amp; PasaJob.ph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potential collaboration opportunities between ID Future Stars (IDFS) and PasaJob.ph, leveraging IDFS's educational and career development programs alongside PasaJob's referral-based employment platform.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Career &amp; Skill Assessment Integration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assessments from IDFS, such as Math AI assessments or skill-based tests for students on the PasaJob platform.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the 'Are You The One?' IDFS assessment directly into PasaJob, facilitating student readiness evaluations and employer candidate selections.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Referral-Based Internship and Job Placements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targeted network for IDFS alumni through PasaJob's referral system, allowing alumni to recommend peers, forming a highly curated candidate pool.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3. Joint Certification Program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a joint certification or badge, 'PasaJob-IDFS Certified,' awarded to students completing IDFS training or assessments, enhancing their employability.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4. Career Pathway Mapping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tailored career pathway resources and educational content for PasaJob users, clearly connecting academic majors to job opportunities on PasaJob.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5. Data and Insights Sharing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aggregated data related to skill demand, career trends, and student performance to refine IDFS educational offerings and enhance job-candidate matching on PasaJob.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6. Workshops &amp; Webinars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on joint webinars and workshops featuring IDFS experts and career counselors for PasaJob users, covering topics such as career selection and job market readiness.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7. Exclusive Early Career Programs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exclusive internship or initial employment opportunities specifically for IDFS participants through PasaJob's employer network.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8. Student Ambassador Program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a student ambassador program where high-performing IDFS students use PasaJob's referral system to recommend peers and actively promote both platforms.</w:t>
      </w:r>
    </w:p>
    <w:p w:rsidR="00000000" w:rsidDel="00000000" w:rsidP="00000000" w:rsidRDefault="00000000" w:rsidRPr="00000000" w14:paraId="00000014">
      <w:pPr>
        <w:spacing w:after="220" w:line="288" w:lineRule="auto"/>
        <w:rPr>
          <w:rFonts w:ascii="Calibri" w:cs="Calibri" w:eastAsia="Calibri" w:hAnsi="Calibri"/>
          <w:color w:val="17365d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color w:val="17365d"/>
          <w:sz w:val="39"/>
          <w:szCs w:val="39"/>
          <w:rtl w:val="0"/>
        </w:rPr>
        <w:t xml:space="preserve">US Market Entry Strategy for PasaJob</w:t>
      </w:r>
    </w:p>
    <w:p w:rsidR="00000000" w:rsidDel="00000000" w:rsidP="00000000" w:rsidRDefault="00000000" w:rsidRPr="00000000" w14:paraId="00000015">
      <w:pPr>
        <w:spacing w:after="0" w:before="360" w:line="353.4545454545455" w:lineRule="auto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Strategic Positioning</w:t>
      </w:r>
    </w:p>
    <w:p w:rsidR="00000000" w:rsidDel="00000000" w:rsidP="00000000" w:rsidRDefault="00000000" w:rsidRPr="00000000" w14:paraId="00000016">
      <w:pPr>
        <w:spacing w:after="0"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Position PasaJob as a revolutionary referral-driven talent platform that leverages social networks to find hidden talent, reduce hiring costs, and improve candidate quality, distinguishing itself from traditional recruitment methods.</w:t>
      </w:r>
    </w:p>
    <w:p w:rsidR="00000000" w:rsidDel="00000000" w:rsidP="00000000" w:rsidRDefault="00000000" w:rsidRPr="00000000" w14:paraId="00000017">
      <w:pPr>
        <w:spacing w:after="0" w:before="360" w:line="353.4545454545455" w:lineRule="auto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Leveraging Connections &amp; Partnerships</w:t>
      </w:r>
    </w:p>
    <w:p w:rsidR="00000000" w:rsidDel="00000000" w:rsidP="00000000" w:rsidRDefault="00000000" w:rsidRPr="00000000" w14:paraId="00000018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Google &amp; Google Education</w:t>
      </w:r>
    </w:p>
    <w:p w:rsidR="00000000" w:rsidDel="00000000" w:rsidP="00000000" w:rsidRDefault="00000000" w:rsidRPr="00000000" w14:paraId="00000019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Integrate PasaJob’s referral methodology with Google educational initiatives, such as Google Career Certificates, creating robust candidate pipelines.</w:t>
      </w:r>
    </w:p>
    <w:p w:rsidR="00000000" w:rsidDel="00000000" w:rsidP="00000000" w:rsidRDefault="00000000" w:rsidRPr="00000000" w14:paraId="0000001A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Develop tailored digital tools for skills assessments and referrals within Google's ecosystem.</w:t>
      </w:r>
    </w:p>
    <w:p w:rsidR="00000000" w:rsidDel="00000000" w:rsidP="00000000" w:rsidRDefault="00000000" w:rsidRPr="00000000" w14:paraId="0000001B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Venture Capital (Sequoia, Kleiner Perkins)</w:t>
      </w:r>
    </w:p>
    <w:p w:rsidR="00000000" w:rsidDel="00000000" w:rsidP="00000000" w:rsidRDefault="00000000" w:rsidRPr="00000000" w14:paraId="0000001C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Highlight scalability, cost-efficiency, and disruptive potential to attract strategic investment.</w:t>
      </w:r>
    </w:p>
    <w:p w:rsidR="00000000" w:rsidDel="00000000" w:rsidP="00000000" w:rsidRDefault="00000000" w:rsidRPr="00000000" w14:paraId="0000001D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Frame PasaJob as a category-defining solution transforming recruitment via network credibility and candidate validation.</w:t>
      </w:r>
    </w:p>
    <w:p w:rsidR="00000000" w:rsidDel="00000000" w:rsidP="00000000" w:rsidRDefault="00000000" w:rsidRPr="00000000" w14:paraId="0000001E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Enterprise Employers (Morgan Stanley, TCS, etc.)</w:t>
      </w:r>
    </w:p>
    <w:p w:rsidR="00000000" w:rsidDel="00000000" w:rsidP="00000000" w:rsidRDefault="00000000" w:rsidRPr="00000000" w14:paraId="0000001F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Position PasaJob as a unique talent solution enhancing diversity hiring, tapping hidden talent, and reducing recruitment costs.</w:t>
      </w:r>
    </w:p>
    <w:p w:rsidR="00000000" w:rsidDel="00000000" w:rsidP="00000000" w:rsidRDefault="00000000" w:rsidRPr="00000000" w14:paraId="00000020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Create specialized internal referral networks for internships, early-career positions, and diversity &amp; inclusion initiatives.</w:t>
      </w:r>
    </w:p>
    <w:p w:rsidR="00000000" w:rsidDel="00000000" w:rsidP="00000000" w:rsidRDefault="00000000" w:rsidRPr="00000000" w14:paraId="00000021">
      <w:pPr>
        <w:spacing w:after="0" w:before="360" w:line="353.4545454545455" w:lineRule="auto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Marketing &amp; Outreach Approach</w:t>
      </w:r>
    </w:p>
    <w:p w:rsidR="00000000" w:rsidDel="00000000" w:rsidP="00000000" w:rsidRDefault="00000000" w:rsidRPr="00000000" w14:paraId="00000022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Thought Leadership Content</w:t>
      </w:r>
    </w:p>
    <w:p w:rsidR="00000000" w:rsidDel="00000000" w:rsidP="00000000" w:rsidRDefault="00000000" w:rsidRPr="00000000" w14:paraId="00000023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Develop authoritative content on referral-based hiring and talent insights, leveraging IDFS expertise.</w:t>
      </w:r>
    </w:p>
    <w:p w:rsidR="00000000" w:rsidDel="00000000" w:rsidP="00000000" w:rsidRDefault="00000000" w:rsidRPr="00000000" w14:paraId="00000024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Produce webinars, podcasts, and white papers targeted at HR decision-makers.</w:t>
      </w:r>
    </w:p>
    <w:p w:rsidR="00000000" w:rsidDel="00000000" w:rsidP="00000000" w:rsidRDefault="00000000" w:rsidRPr="00000000" w14:paraId="00000025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Strategic Events and Webinars</w:t>
      </w:r>
    </w:p>
    <w:p w:rsidR="00000000" w:rsidDel="00000000" w:rsidP="00000000" w:rsidRDefault="00000000" w:rsidRPr="00000000" w14:paraId="00000026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Host virtual events or webinars co-branded with Google, Morgan Stanley, TCS, and VCs focusing on workforce trends and recruitment innovations.</w:t>
      </w:r>
    </w:p>
    <w:p w:rsidR="00000000" w:rsidDel="00000000" w:rsidP="00000000" w:rsidRDefault="00000000" w:rsidRPr="00000000" w14:paraId="00000027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Direct Networking and High-Level Introductions</w:t>
      </w:r>
    </w:p>
    <w:p w:rsidR="00000000" w:rsidDel="00000000" w:rsidP="00000000" w:rsidRDefault="00000000" w:rsidRPr="00000000" w14:paraId="00000028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Use executive-level relationships through IDFS and The Sikat Agency to facilitate introductions and demonstrate PasaJob’s value proposition to strategic partners and enterprise clients.</w:t>
      </w:r>
    </w:p>
    <w:p w:rsidR="00000000" w:rsidDel="00000000" w:rsidP="00000000" w:rsidRDefault="00000000" w:rsidRPr="00000000" w14:paraId="00000029">
      <w:pPr>
        <w:spacing w:after="0" w:before="360" w:line="353.4545454545455" w:lineRule="auto"/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Potential Expansion Roadmap</w:t>
      </w:r>
    </w:p>
    <w:p w:rsidR="00000000" w:rsidDel="00000000" w:rsidP="00000000" w:rsidRDefault="00000000" w:rsidRPr="00000000" w14:paraId="0000002A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Pilot Programs</w:t>
      </w:r>
    </w:p>
    <w:p w:rsidR="00000000" w:rsidDel="00000000" w:rsidP="00000000" w:rsidRDefault="00000000" w:rsidRPr="00000000" w14:paraId="0000002B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Initiate pilot referral networks within select enterprise partners (e.g., Morgan Stanley, TCS) to create measurable case studies showcasing PasaJob’s effectiveness.</w:t>
      </w:r>
    </w:p>
    <w:p w:rsidR="00000000" w:rsidDel="00000000" w:rsidP="00000000" w:rsidRDefault="00000000" w:rsidRPr="00000000" w14:paraId="0000002C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Expansion to Universities and Colleges</w:t>
      </w:r>
    </w:p>
    <w:p w:rsidR="00000000" w:rsidDel="00000000" w:rsidP="00000000" w:rsidRDefault="00000000" w:rsidRPr="00000000" w14:paraId="0000002D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Partner with US colleges and universities using IDFS programs to connect students directly with employers via the referral platform.</w:t>
      </w:r>
    </w:p>
    <w:p w:rsidR="00000000" w:rsidDel="00000000" w:rsidP="00000000" w:rsidRDefault="00000000" w:rsidRPr="00000000" w14:paraId="0000002E">
      <w:pPr>
        <w:spacing w:after="0" w:before="160" w:line="353.4545454545455" w:lineRule="auto"/>
        <w:rPr>
          <w:rFonts w:ascii="Calibri" w:cs="Calibri" w:eastAsia="Calibri" w:hAnsi="Calibri"/>
          <w:b w:val="1"/>
          <w:color w:val="4f81b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0"/>
          <w:szCs w:val="30"/>
          <w:rtl w:val="0"/>
        </w:rPr>
        <w:t xml:space="preserve">Long-term Scaling</w:t>
      </w:r>
    </w:p>
    <w:p w:rsidR="00000000" w:rsidDel="00000000" w:rsidP="00000000" w:rsidRDefault="00000000" w:rsidRPr="00000000" w14:paraId="0000002F">
      <w:pPr>
        <w:spacing w:after="0" w:lineRule="auto"/>
        <w:ind w:left="54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• Expand broadly across enterprise and educational sectors, supported by strategic venture capital partnerships to accelerate growth.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OgzsPb6v3G4y8qX3kMff+tIqw==">CgMxLjA4AHIhMW41SUd2TDZ5TW1zWnRwZE1OWll3S1RCRkxQRC1nb09S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