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x2hx6e5t1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Coach Outreach &amp; Engagement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Coach Introductions:</w:t>
      </w:r>
      <w:r w:rsidDel="00000000" w:rsidR="00000000" w:rsidRPr="00000000">
        <w:rPr>
          <w:rtl w:val="0"/>
        </w:rPr>
        <w:t xml:space="preserve"> Work with SportsProsConnect to identify tennis coaches who frequently interact with international student-athletes aiming for U.S. college opportunities.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Informational Sessions:</w:t>
      </w:r>
      <w:r w:rsidDel="00000000" w:rsidR="00000000" w:rsidRPr="00000000">
        <w:rPr>
          <w:rtl w:val="0"/>
        </w:rPr>
        <w:t xml:space="preserve"> Host short virtual presentations or Q&amp;A so coaches learn about IDFS services—especially our academic, athletic, and EQ (emotional intelligence) evaluations.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12121"/>
          <w:rtl w:val="0"/>
        </w:rPr>
        <w:t xml:space="preserve">We will be teaching the behind the scenes with US Athletic Admissions and how coaches work with their subcommittees to get kids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Referral Mechanism:</w:t>
      </w:r>
      <w:r w:rsidDel="00000000" w:rsidR="00000000" w:rsidRPr="00000000">
        <w:rPr>
          <w:rtl w:val="0"/>
        </w:rPr>
        <w:t xml:space="preserve"> Establish a referral process where coaches can introduce promising student-athletes (and their families) directly to IDFS.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ivrnalzwbf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Student-Athlete Assessment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Athletic Readiness:</w:t>
      </w:r>
      <w:r w:rsidDel="00000000" w:rsidR="00000000" w:rsidRPr="00000000">
        <w:rPr>
          <w:rtl w:val="0"/>
        </w:rPr>
        <w:t xml:space="preserve"> Collaborate with each coach to assess the athlete’s tennis skill level and potential collegiate placement range (e.g., NCAA Divisions II, III, NAIA).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&amp; EQ Evaluation:</w:t>
      </w:r>
      <w:r w:rsidDel="00000000" w:rsidR="00000000" w:rsidRPr="00000000">
        <w:rPr>
          <w:rtl w:val="0"/>
        </w:rPr>
        <w:t xml:space="preserve"> IDFS uses its “special talents” approach to evaluate students’ academic performance, English proficiency, and cultural adaptability to Western education.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Customized Roadmap:</w:t>
      </w:r>
      <w:r w:rsidDel="00000000" w:rsidR="00000000" w:rsidRPr="00000000">
        <w:rPr>
          <w:rtl w:val="0"/>
        </w:rPr>
        <w:t xml:space="preserve"> Create an individualized plan with recommended training regimens, academic improvements, and extracurricular strategies to enhance admissions prospects.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2u6f5dsiv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College Admissions &amp; Talent Positioning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Strategy:</w:t>
      </w:r>
      <w:r w:rsidDel="00000000" w:rsidR="00000000" w:rsidRPr="00000000">
        <w:rPr>
          <w:rtl w:val="0"/>
        </w:rPr>
        <w:t xml:space="preserve"> IDFS guides students through selecting target schools, writing essays, completing applications, and leveraging both tennis skills and academic strengths.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Coach Advocacy:</w:t>
      </w:r>
      <w:r w:rsidDel="00000000" w:rsidR="00000000" w:rsidRPr="00000000">
        <w:rPr>
          <w:rtl w:val="0"/>
        </w:rPr>
        <w:t xml:space="preserve"> For higher-level prospects, IDFS liaises with college coaches, providing performance footage, transcripts, and character references.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D2/D3 Edge:</w:t>
      </w:r>
      <w:r w:rsidDel="00000000" w:rsidR="00000000" w:rsidRPr="00000000">
        <w:rPr>
          <w:rtl w:val="0"/>
        </w:rPr>
        <w:t xml:space="preserve"> For those not at the Division I level, IDFS highlights a combination of strong academics plus good tennis skills to secure scholarships or roster spots at the D2/D3 level.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si7ktwm5g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Holistic Student &amp; Family Support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 &amp; Cultural Prep:</w:t>
      </w:r>
      <w:r w:rsidDel="00000000" w:rsidR="00000000" w:rsidRPr="00000000">
        <w:rPr>
          <w:rtl w:val="0"/>
        </w:rPr>
        <w:t xml:space="preserve"> Offer workshops on adapting to campus life, balancing tennis with academics, and integrating socially—particularly valuable for international students.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Ongoing Mentorship:</w:t>
      </w:r>
      <w:r w:rsidDel="00000000" w:rsidR="00000000" w:rsidRPr="00000000">
        <w:rPr>
          <w:rtl w:val="0"/>
        </w:rPr>
        <w:t xml:space="preserve"> Pair families with an IDFS mentor who offers continuous support, helps refine personal branding, and solves challenges as they arise.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 Tracking:</w:t>
      </w:r>
      <w:r w:rsidDel="00000000" w:rsidR="00000000" w:rsidRPr="00000000">
        <w:rPr>
          <w:rtl w:val="0"/>
        </w:rPr>
        <w:t xml:space="preserve"> Keep referring coaches and families updated on each student’s academic, athletic, and admissions milestones.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nt63yl1ar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Co-Marketing &amp; Program Promotion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Joint Branding:</w:t>
      </w:r>
      <w:r w:rsidDel="00000000" w:rsidR="00000000" w:rsidRPr="00000000">
        <w:rPr>
          <w:rtl w:val="0"/>
        </w:rPr>
        <w:t xml:space="preserve"> Produce co-branded promotional materials emphasizing the synergy between SportsProsConnect’s global coaching network and IDFS’s academic-athletic focus.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 Stories &amp; Testimonials:</w:t>
      </w:r>
      <w:r w:rsidDel="00000000" w:rsidR="00000000" w:rsidRPr="00000000">
        <w:rPr>
          <w:rtl w:val="0"/>
        </w:rPr>
        <w:t xml:space="preserve"> Share the real-life case studies below—illustrating how IDFS has effectively helped talented players find their ideal college match.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Webinars &amp; Workshops:</w:t>
      </w:r>
      <w:r w:rsidDel="00000000" w:rsidR="00000000" w:rsidRPr="00000000">
        <w:rPr>
          <w:rtl w:val="0"/>
        </w:rPr>
        <w:t xml:space="preserve"> Host sessions for coaches, parents, and students on topics like “Navigating College Tennis Recruitment” or “Balancing Academics &amp; Athletics in the U.S.”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5ytgmj9iy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Implementation Timeline &amp; Next Steps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Short-Term (Next 1-2 Months):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Finalize partnership details, referral workflow, and communications strategy.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introductory webinars for interested coaches on SportsProsConnect.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Medium-Term (3-6 Months):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integrated marketing campaigns.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active evaluations and start placing athletes into IDFS’s academic-athletic pipeline.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(6+ Months):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results; gather feedback from coaches, parents, and athletes.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Refine the approach based on successes, challenges, and evolving market needs.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z4adyilgnq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Case Studies: IDFS Success Stories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t6niwmd2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Student #1: Mark R.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Starting Point: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Attended University Of Miami Online High School (founded by IDFS in 2000 and later sold to Kaplan)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Lived and trained at IMG Academy in Bradenton, Florida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Joined IDFS in 10th grade with a 3.5 GPA (mix of A’s and B’s) and viewed as a strong Division III-level tennis player at that time.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IDFS Approach &amp; Impact: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Weekly remote coaching (FaceTime, Zoom) set academic, SAT, and tennis/fitness goals.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Collaborated with IMG’s tennis coaches to strengthen Mark’s athletic profile—improved conditioning and tennis skills significantly.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Provided guidance on academic performance, raising his GPA and test scores; built a compelling “Athletic Profile” for outreach.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Contacted Ivy League and select mid-level Division I coaches (Bucknell, Duke, UVA, Michigan, etc.) with transcripts, SATs, and athletic records.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fielded calls from top programs, took the maximum 5 official visits, and committed early to Harvard.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Played 4 years at Harvard, graduated with a 3.55 GPA, was named All Ivy in tennis, and earned Academic All American status.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pyc25s7r2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Student #2: Ashton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Starting Point: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Attended Laurel Springs Online School (which IDFS founded after UMOHS)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Lived and trained at John Newcombe’s Tennis Academy in New Braunfels, Texas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Joined IDFS midway through 11th grade, had a 3.3 GPA and an SAT score of 1100/1600.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Standing at 5'7", 148 lbs, Ashton was deemed undersized for strong Division I play.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IDFS Approach &amp; Impact: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Collaborated with Newcombe’s coaches to identify the best-fit division and academic environment for Ashton.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Prioritized “winning program + better academics + warmer climate” per Ashton’s wishes.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Reached out to academically stronger Division III schools that might typically have higher GPA/SAT standards, showcasing Ashton’s potential to excel over time.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Emphasized his dedication, character, and a likely rise in the lineup (from 5-6 spot to top 1-2 by junior year) as part of the recruitment pitch.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Generated interest from Emory, Pomona, Claremont McKenna, U Chicago, Johns Hopkins, and Trinity.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Ashton chose Emory University, graduated with a 3.0 GPA, won multiple conference championships playing #2–#3 singles, made the Division III Individual Championships 3 times, and won 2 National Team Championships.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sjabzcw4v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Why This Partnership Works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SportsProsConnect:</w:t>
      </w:r>
      <w:r w:rsidDel="00000000" w:rsidR="00000000" w:rsidRPr="00000000">
        <w:rPr>
          <w:rtl w:val="0"/>
        </w:rPr>
        <w:t xml:space="preserve"> Offers a comprehensive network of tennis coaches and academies seeking to place talented student-athletes in collegiate programs.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 Future Stars:</w:t>
      </w:r>
      <w:r w:rsidDel="00000000" w:rsidR="00000000" w:rsidRPr="00000000">
        <w:rPr>
          <w:rtl w:val="0"/>
        </w:rPr>
        <w:t xml:space="preserve"> Delivers academic oversight, cultural readiness, and individualized admissions support, helping students maximize both athletic talent and academic qualifications.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