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ED995" w14:textId="77777777" w:rsidR="004254F2" w:rsidRPr="00CE2392" w:rsidRDefault="006D54B3">
      <w:pPr>
        <w:pStyle w:val="Title"/>
        <w:rPr>
          <w:rFonts w:cstheme="majorHAnsi"/>
        </w:rPr>
      </w:pPr>
      <w:r w:rsidRPr="00CE2392">
        <w:rPr>
          <w:rFonts w:cstheme="majorHAnsi"/>
        </w:rPr>
        <w:t>CircaGene MVP - Nutrigenomics &amp; Longevity Sources (Draft)</w:t>
      </w:r>
    </w:p>
    <w:p w14:paraId="38FE48C2" w14:textId="77777777" w:rsidR="00721130" w:rsidRPr="00CE2392" w:rsidRDefault="00721130" w:rsidP="00721130">
      <w:pPr>
        <w:pStyle w:val="ListParagraph"/>
        <w:numPr>
          <w:ilvl w:val="0"/>
          <w:numId w:val="10"/>
        </w:numPr>
        <w:rPr>
          <w:rFonts w:asciiTheme="majorHAnsi" w:hAnsiTheme="majorHAnsi" w:cstheme="majorHAnsi"/>
        </w:rPr>
      </w:pPr>
      <w:hyperlink r:id="rId6" w:tgtFrame="_blank" w:history="1">
        <w:r w:rsidRPr="00CE2392">
          <w:rPr>
            <w:rStyle w:val="Hyperlink"/>
            <w:rFonts w:asciiTheme="majorHAnsi" w:hAnsiTheme="majorHAnsi" w:cstheme="majorHAnsi"/>
          </w:rPr>
          <w:t>https://doi.org/10.3390/nu17020242</w:t>
        </w:r>
      </w:hyperlink>
      <w:r w:rsidRPr="00CE2392">
        <w:rPr>
          <w:rFonts w:asciiTheme="majorHAnsi" w:hAnsiTheme="majorHAnsi" w:cstheme="majorHAnsi"/>
        </w:rPr>
        <w:t>: "A specific genetic variation in the MTHFR gene (rs1801133) alters folate metabolism, meaning individuals with this mutation may require personalized B-vitamin supplementation to manage homocysteine levels and reduce chronic disease risk."</w:t>
      </w:r>
    </w:p>
    <w:p w14:paraId="0E3A16B7" w14:textId="77777777" w:rsidR="00721130" w:rsidRPr="00CE2392" w:rsidRDefault="00721130" w:rsidP="00721130">
      <w:pPr>
        <w:pStyle w:val="ListParagraph"/>
        <w:numPr>
          <w:ilvl w:val="0"/>
          <w:numId w:val="10"/>
        </w:numPr>
        <w:rPr>
          <w:rFonts w:asciiTheme="majorHAnsi" w:hAnsiTheme="majorHAnsi" w:cstheme="majorHAnsi"/>
        </w:rPr>
      </w:pPr>
      <w:hyperlink r:id="rId7" w:tgtFrame="_blank" w:history="1">
        <w:r w:rsidRPr="00CE2392">
          <w:rPr>
            <w:rStyle w:val="Hyperlink"/>
            <w:rFonts w:asciiTheme="majorHAnsi" w:hAnsiTheme="majorHAnsi" w:cstheme="majorHAnsi"/>
          </w:rPr>
          <w:t>https://doi.org/10.1017/s0029665108006988</w:t>
        </w:r>
      </w:hyperlink>
      <w:r w:rsidRPr="00CE2392">
        <w:rPr>
          <w:rFonts w:asciiTheme="majorHAnsi" w:hAnsiTheme="majorHAnsi" w:cstheme="majorHAnsi"/>
        </w:rPr>
        <w:t>: "The optimal level of micronutrients required to prevent DNA damage and maintain telomeres depends heavily on an individual's genetic polymorphisms. Therefore, personalized '</w:t>
      </w:r>
      <w:proofErr w:type="spellStart"/>
      <w:r w:rsidRPr="00CE2392">
        <w:rPr>
          <w:rFonts w:asciiTheme="majorHAnsi" w:hAnsiTheme="majorHAnsi" w:cstheme="majorHAnsi"/>
        </w:rPr>
        <w:t>nutriomes</w:t>
      </w:r>
      <w:proofErr w:type="spellEnd"/>
      <w:r w:rsidRPr="00CE2392">
        <w:rPr>
          <w:rFonts w:asciiTheme="majorHAnsi" w:hAnsiTheme="majorHAnsi" w:cstheme="majorHAnsi"/>
        </w:rPr>
        <w:t>' could counteract genetic defects that mimic severe micronutrient deficiencies and accelerate aging."</w:t>
      </w:r>
    </w:p>
    <w:p w14:paraId="658634F5" w14:textId="77777777" w:rsidR="00721130" w:rsidRPr="00CE2392" w:rsidRDefault="00721130" w:rsidP="00721130">
      <w:pPr>
        <w:pStyle w:val="ListParagraph"/>
        <w:numPr>
          <w:ilvl w:val="0"/>
          <w:numId w:val="10"/>
        </w:numPr>
        <w:rPr>
          <w:rFonts w:asciiTheme="majorHAnsi" w:hAnsiTheme="majorHAnsi" w:cstheme="majorHAnsi"/>
        </w:rPr>
      </w:pPr>
      <w:hyperlink r:id="rId8" w:tgtFrame="_blank" w:history="1">
        <w:r w:rsidRPr="00CE2392">
          <w:rPr>
            <w:rStyle w:val="Hyperlink"/>
            <w:rFonts w:asciiTheme="majorHAnsi" w:hAnsiTheme="majorHAnsi" w:cstheme="majorHAnsi"/>
          </w:rPr>
          <w:t>https://doi.org/10.1016/j.arr.2014.01.001</w:t>
        </w:r>
      </w:hyperlink>
      <w:r w:rsidRPr="00CE2392">
        <w:rPr>
          <w:rFonts w:asciiTheme="majorHAnsi" w:hAnsiTheme="majorHAnsi" w:cstheme="majorHAnsi"/>
        </w:rPr>
        <w:t>: "Vitamin E supplementation can mitigate the oxidative stress that drives cellular aging, but its efficacy is heavily dependent on specific genetic polymorphisms interacting with the vitamin's bioactivity. This suggests that tailoring the dose and isoform of vitamin E to a person's genetic profile is key for longevity."</w:t>
      </w:r>
    </w:p>
    <w:p w14:paraId="68AA89F8" w14:textId="77777777" w:rsidR="00721130" w:rsidRPr="00CE2392" w:rsidRDefault="00721130" w:rsidP="00721130">
      <w:pPr>
        <w:pStyle w:val="ListParagraph"/>
        <w:numPr>
          <w:ilvl w:val="0"/>
          <w:numId w:val="10"/>
        </w:numPr>
        <w:rPr>
          <w:rFonts w:asciiTheme="majorHAnsi" w:hAnsiTheme="majorHAnsi" w:cstheme="majorHAnsi"/>
        </w:rPr>
      </w:pPr>
      <w:hyperlink r:id="rId9" w:tgtFrame="_blank" w:history="1">
        <w:r w:rsidRPr="00CE2392">
          <w:rPr>
            <w:rStyle w:val="Hyperlink"/>
            <w:rFonts w:asciiTheme="majorHAnsi" w:hAnsiTheme="majorHAnsi" w:cstheme="majorHAnsi"/>
          </w:rPr>
          <w:t>https://doi.org/10.3390/cells11020214</w:t>
        </w:r>
      </w:hyperlink>
      <w:r w:rsidRPr="00CE2392">
        <w:rPr>
          <w:rFonts w:asciiTheme="majorHAnsi" w:hAnsiTheme="majorHAnsi" w:cstheme="majorHAnsi"/>
        </w:rPr>
        <w:t>: "The C677T polymorphism in the MTHFR gene reduces enzyme function but, counterintuitively, displays a slightly beneficial effect on all-cause mortality, demonstrating how specific genetic variants dictate one-carbon metabolism and influence aging."</w:t>
      </w:r>
    </w:p>
    <w:p w14:paraId="717BEFAB" w14:textId="77777777" w:rsidR="00721130" w:rsidRPr="00CE2392" w:rsidRDefault="00721130" w:rsidP="00721130">
      <w:pPr>
        <w:pStyle w:val="ListParagraph"/>
        <w:numPr>
          <w:ilvl w:val="0"/>
          <w:numId w:val="10"/>
        </w:numPr>
        <w:rPr>
          <w:rFonts w:asciiTheme="majorHAnsi" w:hAnsiTheme="majorHAnsi" w:cstheme="majorHAnsi"/>
        </w:rPr>
      </w:pPr>
      <w:hyperlink r:id="rId10" w:tgtFrame="_blank" w:history="1">
        <w:r w:rsidRPr="00CE2392">
          <w:rPr>
            <w:rStyle w:val="Hyperlink"/>
            <w:rFonts w:asciiTheme="majorHAnsi" w:hAnsiTheme="majorHAnsi" w:cstheme="majorHAnsi"/>
          </w:rPr>
          <w:t>https://doi.org/10.26508/lsa.202402868</w:t>
        </w:r>
      </w:hyperlink>
      <w:r w:rsidRPr="00CE2392">
        <w:rPr>
          <w:rFonts w:asciiTheme="majorHAnsi" w:hAnsiTheme="majorHAnsi" w:cstheme="majorHAnsi"/>
        </w:rPr>
        <w:t xml:space="preserve">: "While early-life folate is essential for development, late-life dietary restriction of folate reduces anabolism and improves metabolic flexibility, effectively increasing </w:t>
      </w:r>
      <w:proofErr w:type="spellStart"/>
      <w:r w:rsidRPr="00CE2392">
        <w:rPr>
          <w:rFonts w:asciiTheme="majorHAnsi" w:hAnsiTheme="majorHAnsi" w:cstheme="majorHAnsi"/>
        </w:rPr>
        <w:t>healthspan</w:t>
      </w:r>
      <w:proofErr w:type="spellEnd"/>
      <w:r w:rsidRPr="00CE2392">
        <w:rPr>
          <w:rFonts w:asciiTheme="majorHAnsi" w:hAnsiTheme="majorHAnsi" w:cstheme="majorHAnsi"/>
        </w:rPr>
        <w:t xml:space="preserve"> in aging models. This highlights that the longevity benefits of micronutrient intake vary dramatically depending on biological age."</w:t>
      </w:r>
    </w:p>
    <w:p w14:paraId="3AA667A3" w14:textId="77777777" w:rsidR="00721130" w:rsidRPr="00CE2392" w:rsidRDefault="00721130" w:rsidP="00721130">
      <w:pPr>
        <w:pStyle w:val="ListParagraph"/>
        <w:numPr>
          <w:ilvl w:val="0"/>
          <w:numId w:val="10"/>
        </w:numPr>
        <w:rPr>
          <w:rFonts w:asciiTheme="majorHAnsi" w:hAnsiTheme="majorHAnsi" w:cstheme="majorHAnsi"/>
        </w:rPr>
      </w:pPr>
      <w:hyperlink r:id="rId11" w:tgtFrame="_blank" w:history="1">
        <w:r w:rsidRPr="00CE2392">
          <w:rPr>
            <w:rStyle w:val="Hyperlink"/>
            <w:rFonts w:asciiTheme="majorHAnsi" w:hAnsiTheme="majorHAnsi" w:cstheme="majorHAnsi"/>
          </w:rPr>
          <w:t>https://doi.org/10.1007/s11357-022-00637-w</w:t>
        </w:r>
      </w:hyperlink>
      <w:r w:rsidRPr="00CE2392">
        <w:rPr>
          <w:rFonts w:asciiTheme="majorHAnsi" w:hAnsiTheme="majorHAnsi" w:cstheme="majorHAnsi"/>
        </w:rPr>
        <w:t xml:space="preserve">: "Vitamin D3 promotes longevity and </w:t>
      </w:r>
      <w:proofErr w:type="spellStart"/>
      <w:r w:rsidRPr="00CE2392">
        <w:rPr>
          <w:rFonts w:asciiTheme="majorHAnsi" w:hAnsiTheme="majorHAnsi" w:cstheme="majorHAnsi"/>
        </w:rPr>
        <w:t>healthspan</w:t>
      </w:r>
      <w:proofErr w:type="spellEnd"/>
      <w:r w:rsidRPr="00CE2392">
        <w:rPr>
          <w:rFonts w:asciiTheme="majorHAnsi" w:hAnsiTheme="majorHAnsi" w:cstheme="majorHAnsi"/>
        </w:rPr>
        <w:t xml:space="preserve"> by influencing pathways tied to innate immunity and xenobiotic metabolism, provided that specific nuclear receptors (like the vitamin D receptor) are genetically functional."</w:t>
      </w:r>
    </w:p>
    <w:p w14:paraId="1CE29D14" w14:textId="77777777" w:rsidR="00721130" w:rsidRPr="00CE2392" w:rsidRDefault="00721130" w:rsidP="00721130">
      <w:pPr>
        <w:pStyle w:val="ListParagraph"/>
        <w:numPr>
          <w:ilvl w:val="0"/>
          <w:numId w:val="10"/>
        </w:numPr>
        <w:rPr>
          <w:rFonts w:asciiTheme="majorHAnsi" w:hAnsiTheme="majorHAnsi" w:cstheme="majorHAnsi"/>
        </w:rPr>
      </w:pPr>
      <w:hyperlink r:id="rId12" w:tgtFrame="_blank" w:history="1">
        <w:r w:rsidRPr="00CE2392">
          <w:rPr>
            <w:rStyle w:val="Hyperlink"/>
            <w:rFonts w:asciiTheme="majorHAnsi" w:hAnsiTheme="majorHAnsi" w:cstheme="majorHAnsi"/>
          </w:rPr>
          <w:t>https://doi.org/10.3389/fphar.2024.1298181</w:t>
        </w:r>
      </w:hyperlink>
      <w:r w:rsidRPr="00CE2392">
        <w:rPr>
          <w:rFonts w:asciiTheme="majorHAnsi" w:hAnsiTheme="majorHAnsi" w:cstheme="majorHAnsi"/>
        </w:rPr>
        <w:t>: "The Vitamin D receptor (VDR) gene has multiple polymorphic sites that alter its transcriptional activity and influence aging processes. This means individuals with certain VDR polymorphisms may process active vitamin D differently, making customized supplementation crucial."</w:t>
      </w:r>
    </w:p>
    <w:p w14:paraId="3CB0B8F8" w14:textId="77777777" w:rsidR="00721130" w:rsidRPr="00CE2392" w:rsidRDefault="00721130" w:rsidP="00721130">
      <w:pPr>
        <w:pStyle w:val="ListParagraph"/>
        <w:numPr>
          <w:ilvl w:val="0"/>
          <w:numId w:val="10"/>
        </w:numPr>
        <w:rPr>
          <w:rFonts w:asciiTheme="majorHAnsi" w:hAnsiTheme="majorHAnsi" w:cstheme="majorHAnsi"/>
        </w:rPr>
      </w:pPr>
      <w:hyperlink r:id="rId13" w:tgtFrame="_blank" w:history="1">
        <w:r w:rsidRPr="00CE2392">
          <w:rPr>
            <w:rStyle w:val="Hyperlink"/>
            <w:rFonts w:asciiTheme="majorHAnsi" w:hAnsiTheme="majorHAnsi" w:cstheme="majorHAnsi"/>
          </w:rPr>
          <w:t>https://doi.org/10.1038/sj.embor.7400426</w:t>
        </w:r>
      </w:hyperlink>
      <w:r w:rsidRPr="00CE2392">
        <w:rPr>
          <w:rFonts w:asciiTheme="majorHAnsi" w:hAnsiTheme="majorHAnsi" w:cstheme="majorHAnsi"/>
        </w:rPr>
        <w:t>: "Chronic deficiencies in micronutrients—even at levels above those that cause acute diseases—can mimic radiation by causing severe DNA damage and accelerating the decay of mitochondria. Tuning up an individual's metabolic profile through personalized multivitamin intake can significantly delay degenerative aging."</w:t>
      </w:r>
    </w:p>
    <w:p w14:paraId="62B4DE7B" w14:textId="77777777" w:rsidR="00721130" w:rsidRPr="00CE2392" w:rsidRDefault="00721130" w:rsidP="00721130">
      <w:pPr>
        <w:pStyle w:val="ListParagraph"/>
        <w:numPr>
          <w:ilvl w:val="0"/>
          <w:numId w:val="10"/>
        </w:numPr>
        <w:rPr>
          <w:rFonts w:asciiTheme="majorHAnsi" w:hAnsiTheme="majorHAnsi" w:cstheme="majorHAnsi"/>
        </w:rPr>
      </w:pPr>
      <w:hyperlink r:id="rId14" w:tgtFrame="_blank" w:history="1">
        <w:r w:rsidRPr="00CE2392">
          <w:rPr>
            <w:rStyle w:val="Hyperlink"/>
            <w:rFonts w:asciiTheme="majorHAnsi" w:hAnsiTheme="majorHAnsi" w:cstheme="majorHAnsi"/>
          </w:rPr>
          <w:t>https://doi.org/10.3390/nu11030676</w:t>
        </w:r>
      </w:hyperlink>
      <w:r w:rsidRPr="00CE2392">
        <w:rPr>
          <w:rFonts w:asciiTheme="majorHAnsi" w:hAnsiTheme="majorHAnsi" w:cstheme="majorHAnsi"/>
        </w:rPr>
        <w:t>: "Vitamin D interacts directly with the epigenome, and because individuals possess vastly different molecular and genetic responses, precise, personalized supplementation is necessary to optimize clinical benefits and prevent age-related decline."</w:t>
      </w:r>
    </w:p>
    <w:p w14:paraId="4FC7ED19" w14:textId="77777777" w:rsidR="00721130" w:rsidRPr="00CE2392" w:rsidRDefault="00721130" w:rsidP="00721130">
      <w:pPr>
        <w:pStyle w:val="ListParagraph"/>
        <w:numPr>
          <w:ilvl w:val="0"/>
          <w:numId w:val="10"/>
        </w:numPr>
        <w:rPr>
          <w:rFonts w:asciiTheme="majorHAnsi" w:hAnsiTheme="majorHAnsi" w:cstheme="majorHAnsi"/>
        </w:rPr>
      </w:pPr>
      <w:hyperlink r:id="rId15" w:tgtFrame="_blank" w:history="1">
        <w:r w:rsidRPr="00CE2392">
          <w:rPr>
            <w:rStyle w:val="Hyperlink"/>
            <w:rFonts w:asciiTheme="majorHAnsi" w:hAnsiTheme="majorHAnsi" w:cstheme="majorHAnsi"/>
          </w:rPr>
          <w:t>https://doi.org/10.3390/nu12113364</w:t>
        </w:r>
      </w:hyperlink>
      <w:r w:rsidRPr="00CE2392">
        <w:rPr>
          <w:rFonts w:asciiTheme="majorHAnsi" w:hAnsiTheme="majorHAnsi" w:cstheme="majorHAnsi"/>
        </w:rPr>
        <w:t>: "Essential micronutrients act as structural components of the enzymes responsible for DNA repair; targeted supplementation can thus preserve genome stability as a person's repair mechanisms degrade with age."</w:t>
      </w:r>
    </w:p>
    <w:p w14:paraId="43DFBECF" w14:textId="77777777" w:rsidR="00721130" w:rsidRPr="00CE2392" w:rsidRDefault="00721130" w:rsidP="00721130">
      <w:pPr>
        <w:pStyle w:val="ListParagraph"/>
        <w:numPr>
          <w:ilvl w:val="0"/>
          <w:numId w:val="10"/>
        </w:numPr>
        <w:rPr>
          <w:rFonts w:asciiTheme="majorHAnsi" w:hAnsiTheme="majorHAnsi" w:cstheme="majorHAnsi"/>
        </w:rPr>
      </w:pPr>
      <w:hyperlink r:id="rId16" w:tgtFrame="_blank" w:history="1">
        <w:r w:rsidRPr="00CE2392">
          <w:rPr>
            <w:rStyle w:val="Hyperlink"/>
            <w:rFonts w:asciiTheme="majorHAnsi" w:hAnsiTheme="majorHAnsi" w:cstheme="majorHAnsi"/>
          </w:rPr>
          <w:t>https://doi.org/10.3390/geriatrics5040095</w:t>
        </w:r>
      </w:hyperlink>
      <w:r w:rsidRPr="00CE2392">
        <w:rPr>
          <w:rFonts w:asciiTheme="majorHAnsi" w:hAnsiTheme="majorHAnsi" w:cstheme="majorHAnsi"/>
        </w:rPr>
        <w:t xml:space="preserve">: "Beyond baseline genetics, nutritional factors aggressively drive the epigenetic modifications that determine a person's </w:t>
      </w:r>
      <w:proofErr w:type="spellStart"/>
      <w:r w:rsidRPr="00CE2392">
        <w:rPr>
          <w:rFonts w:asciiTheme="majorHAnsi" w:hAnsiTheme="majorHAnsi" w:cstheme="majorHAnsi"/>
        </w:rPr>
        <w:t>healthspan</w:t>
      </w:r>
      <w:proofErr w:type="spellEnd"/>
      <w:r w:rsidRPr="00CE2392">
        <w:rPr>
          <w:rFonts w:asciiTheme="majorHAnsi" w:hAnsiTheme="majorHAnsi" w:cstheme="majorHAnsi"/>
        </w:rPr>
        <w:t>, confirming that targeted nutrient intake can activate natural longevity pathways."</w:t>
      </w:r>
    </w:p>
    <w:p w14:paraId="79A7E629" w14:textId="77777777" w:rsidR="00721130" w:rsidRPr="00CE2392" w:rsidRDefault="00721130" w:rsidP="00721130">
      <w:pPr>
        <w:pStyle w:val="ListParagraph"/>
        <w:numPr>
          <w:ilvl w:val="0"/>
          <w:numId w:val="10"/>
        </w:numPr>
        <w:rPr>
          <w:rFonts w:asciiTheme="majorHAnsi" w:hAnsiTheme="majorHAnsi" w:cstheme="majorHAnsi"/>
        </w:rPr>
      </w:pPr>
      <w:hyperlink r:id="rId17" w:tgtFrame="_blank" w:history="1">
        <w:r w:rsidRPr="00CE2392">
          <w:rPr>
            <w:rStyle w:val="Hyperlink"/>
            <w:rFonts w:asciiTheme="majorHAnsi" w:hAnsiTheme="majorHAnsi" w:cstheme="majorHAnsi"/>
          </w:rPr>
          <w:t>https://doi.org/10.3945/jn.116.235119</w:t>
        </w:r>
      </w:hyperlink>
      <w:r w:rsidRPr="00CE2392">
        <w:rPr>
          <w:rFonts w:asciiTheme="majorHAnsi" w:hAnsiTheme="majorHAnsi" w:cstheme="majorHAnsi"/>
        </w:rPr>
        <w:t>: "Bioactive nutrients modulate the expression of genes associated with telomere length and cellular senescence, offering a molecular mechanism for how precision diets slow down aging at the cellular level."</w:t>
      </w:r>
    </w:p>
    <w:p w14:paraId="3935A05E" w14:textId="77777777" w:rsidR="00721130" w:rsidRPr="00CE2392" w:rsidRDefault="00721130" w:rsidP="00721130">
      <w:pPr>
        <w:pStyle w:val="ListParagraph"/>
        <w:numPr>
          <w:ilvl w:val="0"/>
          <w:numId w:val="10"/>
        </w:numPr>
        <w:rPr>
          <w:rFonts w:asciiTheme="majorHAnsi" w:hAnsiTheme="majorHAnsi" w:cstheme="majorHAnsi"/>
        </w:rPr>
      </w:pPr>
      <w:hyperlink r:id="rId18" w:tgtFrame="_blank" w:history="1">
        <w:r w:rsidRPr="00CE2392">
          <w:rPr>
            <w:rStyle w:val="Hyperlink"/>
            <w:rFonts w:asciiTheme="majorHAnsi" w:hAnsiTheme="majorHAnsi" w:cstheme="majorHAnsi"/>
          </w:rPr>
          <w:t>https://doi.org/10.3389/fnagi.2015.00059</w:t>
        </w:r>
      </w:hyperlink>
      <w:r w:rsidRPr="00CE2392">
        <w:rPr>
          <w:rFonts w:asciiTheme="majorHAnsi" w:hAnsiTheme="majorHAnsi" w:cstheme="majorHAnsi"/>
        </w:rPr>
        <w:t>: "Genetic variations, such as specific polymorphisms in the IL6 and ACSL1 genes, profoundly influence physical fitness, inflammation, and the likelihood of reaching exceptional longevity. Analyzing these variants can identify personalized anti-aging targets for sustaining muscle mass and metabolic health."</w:t>
      </w:r>
    </w:p>
    <w:p w14:paraId="5955F829" w14:textId="77777777" w:rsidR="00721130" w:rsidRPr="00CE2392" w:rsidRDefault="00721130" w:rsidP="00721130">
      <w:pPr>
        <w:pStyle w:val="ListParagraph"/>
        <w:numPr>
          <w:ilvl w:val="0"/>
          <w:numId w:val="10"/>
        </w:numPr>
        <w:rPr>
          <w:rFonts w:asciiTheme="majorHAnsi" w:hAnsiTheme="majorHAnsi" w:cstheme="majorHAnsi"/>
        </w:rPr>
      </w:pPr>
      <w:hyperlink r:id="rId19" w:tgtFrame="_blank" w:history="1">
        <w:r w:rsidRPr="00CE2392">
          <w:rPr>
            <w:rStyle w:val="Hyperlink"/>
            <w:rFonts w:asciiTheme="majorHAnsi" w:hAnsiTheme="majorHAnsi" w:cstheme="majorHAnsi"/>
          </w:rPr>
          <w:t>https://doi.org/10.1016/j.cmet.2021.08.018</w:t>
        </w:r>
      </w:hyperlink>
      <w:r w:rsidRPr="00CE2392">
        <w:rPr>
          <w:rFonts w:asciiTheme="majorHAnsi" w:hAnsiTheme="majorHAnsi" w:cstheme="majorHAnsi"/>
        </w:rPr>
        <w:t xml:space="preserve">: "Dietary restriction of specific micronutrients and amino acids triggers beneficial stress responses—such as autophagy—that robustly extend both lifespan and </w:t>
      </w:r>
      <w:proofErr w:type="spellStart"/>
      <w:r w:rsidRPr="00CE2392">
        <w:rPr>
          <w:rFonts w:asciiTheme="majorHAnsi" w:hAnsiTheme="majorHAnsi" w:cstheme="majorHAnsi"/>
        </w:rPr>
        <w:t>healthspan</w:t>
      </w:r>
      <w:proofErr w:type="spellEnd"/>
      <w:r w:rsidRPr="00CE2392">
        <w:rPr>
          <w:rFonts w:asciiTheme="majorHAnsi" w:hAnsiTheme="majorHAnsi" w:cstheme="majorHAnsi"/>
        </w:rPr>
        <w:t xml:space="preserve"> across multiple species."</w:t>
      </w:r>
    </w:p>
    <w:p w14:paraId="521E17B5" w14:textId="77777777" w:rsidR="00721130" w:rsidRPr="00CE2392" w:rsidRDefault="00721130" w:rsidP="00721130">
      <w:pPr>
        <w:pStyle w:val="ListParagraph"/>
        <w:numPr>
          <w:ilvl w:val="0"/>
          <w:numId w:val="10"/>
        </w:numPr>
        <w:rPr>
          <w:rFonts w:asciiTheme="majorHAnsi" w:hAnsiTheme="majorHAnsi" w:cstheme="majorHAnsi"/>
        </w:rPr>
      </w:pPr>
      <w:hyperlink r:id="rId20" w:tgtFrame="_blank" w:history="1">
        <w:r w:rsidRPr="00CE2392">
          <w:rPr>
            <w:rStyle w:val="Hyperlink"/>
            <w:rFonts w:asciiTheme="majorHAnsi" w:hAnsiTheme="majorHAnsi" w:cstheme="majorHAnsi"/>
          </w:rPr>
          <w:t>https://doi.org/10.3389/fnut.2024.1363181</w:t>
        </w:r>
      </w:hyperlink>
      <w:r w:rsidRPr="00CE2392">
        <w:rPr>
          <w:rFonts w:asciiTheme="majorHAnsi" w:hAnsiTheme="majorHAnsi" w:cstheme="majorHAnsi"/>
        </w:rPr>
        <w:t>: "When utilizing longevity protocols like caloric restriction, the exact requirement for essential micronutrients changes drastically, emphasizing the need for targeted supplementation to prevent deficiency during prolonged fasting."</w:t>
      </w:r>
    </w:p>
    <w:p w14:paraId="67805A49" w14:textId="77777777" w:rsidR="00721130" w:rsidRPr="00CE2392" w:rsidRDefault="00721130" w:rsidP="00721130">
      <w:pPr>
        <w:pStyle w:val="ListParagraph"/>
        <w:numPr>
          <w:ilvl w:val="0"/>
          <w:numId w:val="10"/>
        </w:numPr>
        <w:rPr>
          <w:rFonts w:asciiTheme="majorHAnsi" w:hAnsiTheme="majorHAnsi" w:cstheme="majorHAnsi"/>
        </w:rPr>
      </w:pPr>
      <w:hyperlink r:id="rId21" w:tgtFrame="_blank" w:history="1">
        <w:r w:rsidRPr="00CE2392">
          <w:rPr>
            <w:rStyle w:val="Hyperlink"/>
            <w:rFonts w:asciiTheme="majorHAnsi" w:hAnsiTheme="majorHAnsi" w:cstheme="majorHAnsi"/>
          </w:rPr>
          <w:t>https://doi.org/10.3390/genes11091094</w:t>
        </w:r>
      </w:hyperlink>
      <w:r w:rsidRPr="00CE2392">
        <w:rPr>
          <w:rFonts w:asciiTheme="majorHAnsi" w:hAnsiTheme="majorHAnsi" w:cstheme="majorHAnsi"/>
        </w:rPr>
        <w:t>: "Dietary polyphenols play a critical role in delaying aging by modulating epigenetic machinery, such as histone modifications, to counteract age-related molecular deterioration."</w:t>
      </w:r>
    </w:p>
    <w:p w14:paraId="42149310" w14:textId="77777777" w:rsidR="00721130" w:rsidRPr="00CE2392" w:rsidRDefault="00721130" w:rsidP="00721130">
      <w:pPr>
        <w:pStyle w:val="ListParagraph"/>
        <w:numPr>
          <w:ilvl w:val="0"/>
          <w:numId w:val="10"/>
        </w:numPr>
        <w:rPr>
          <w:rFonts w:asciiTheme="majorHAnsi" w:hAnsiTheme="majorHAnsi" w:cstheme="majorHAnsi"/>
        </w:rPr>
      </w:pPr>
      <w:hyperlink r:id="rId22" w:tgtFrame="_blank" w:history="1">
        <w:r w:rsidRPr="00CE2392">
          <w:rPr>
            <w:rStyle w:val="Hyperlink"/>
            <w:rFonts w:asciiTheme="majorHAnsi" w:hAnsiTheme="majorHAnsi" w:cstheme="majorHAnsi"/>
          </w:rPr>
          <w:t>https://doi.org/10.3390/genes15121599</w:t>
        </w:r>
      </w:hyperlink>
      <w:r w:rsidRPr="00CE2392">
        <w:rPr>
          <w:rFonts w:asciiTheme="majorHAnsi" w:hAnsiTheme="majorHAnsi" w:cstheme="majorHAnsi"/>
        </w:rPr>
        <w:t>: "Extrinsic factors like micronutrients and gut microbiome metabolites induce significant epigenetic alterations, such as DNA methylation changes, which are central to slowing down cognitive decline and extending lifespan."</w:t>
      </w:r>
    </w:p>
    <w:p w14:paraId="2A5A9FE9" w14:textId="77777777" w:rsidR="00721130" w:rsidRPr="00CE2392" w:rsidRDefault="00721130" w:rsidP="00721130">
      <w:pPr>
        <w:pStyle w:val="ListParagraph"/>
        <w:numPr>
          <w:ilvl w:val="0"/>
          <w:numId w:val="10"/>
        </w:numPr>
        <w:rPr>
          <w:rFonts w:asciiTheme="majorHAnsi" w:hAnsiTheme="majorHAnsi" w:cstheme="majorHAnsi"/>
        </w:rPr>
      </w:pPr>
      <w:hyperlink r:id="rId23" w:tgtFrame="_blank" w:history="1">
        <w:r w:rsidRPr="00CE2392">
          <w:rPr>
            <w:rStyle w:val="Hyperlink"/>
            <w:rFonts w:asciiTheme="majorHAnsi" w:hAnsiTheme="majorHAnsi" w:cstheme="majorHAnsi"/>
          </w:rPr>
          <w:t>https://doi.org/10.3389/fgene.2012.00224</w:t>
        </w:r>
      </w:hyperlink>
      <w:r w:rsidRPr="00CE2392">
        <w:rPr>
          <w:rFonts w:asciiTheme="majorHAnsi" w:hAnsiTheme="majorHAnsi" w:cstheme="majorHAnsi"/>
        </w:rPr>
        <w:t>: "Dietary compounds like resveratrol and curcumin can modulate longevity by interacting with histone deacetylases (HDACs), effectively acting as natural 'epigenetic drugs' to reprogram aging cells."</w:t>
      </w:r>
    </w:p>
    <w:p w14:paraId="71B571FA" w14:textId="77777777" w:rsidR="00721130" w:rsidRPr="00CE2392" w:rsidRDefault="00721130" w:rsidP="00721130">
      <w:pPr>
        <w:pStyle w:val="ListParagraph"/>
        <w:numPr>
          <w:ilvl w:val="0"/>
          <w:numId w:val="10"/>
        </w:numPr>
        <w:rPr>
          <w:rFonts w:asciiTheme="majorHAnsi" w:hAnsiTheme="majorHAnsi" w:cstheme="majorHAnsi"/>
        </w:rPr>
      </w:pPr>
      <w:hyperlink r:id="rId24" w:tgtFrame="_blank" w:history="1">
        <w:r w:rsidRPr="00CE2392">
          <w:rPr>
            <w:rStyle w:val="Hyperlink"/>
            <w:rFonts w:asciiTheme="majorHAnsi" w:hAnsiTheme="majorHAnsi" w:cstheme="majorHAnsi"/>
          </w:rPr>
          <w:t>https://doi.org/10.7554/elife.96473</w:t>
        </w:r>
      </w:hyperlink>
      <w:r w:rsidRPr="00CE2392">
        <w:rPr>
          <w:rFonts w:asciiTheme="majorHAnsi" w:hAnsiTheme="majorHAnsi" w:cstheme="majorHAnsi"/>
        </w:rPr>
        <w:t>: "Dietary vitamin B12 acts as a powerful signaling molecule that directly alters lipid homeostasis and metabolic pathways through the SAM-PC axis, reducing detrimental fat accumulation and supporting healthy metabolic aging."</w:t>
      </w:r>
    </w:p>
    <w:p w14:paraId="58E276D6" w14:textId="77777777" w:rsidR="00721130" w:rsidRPr="00CE2392" w:rsidRDefault="00721130" w:rsidP="00721130">
      <w:pPr>
        <w:pStyle w:val="ListParagraph"/>
        <w:numPr>
          <w:ilvl w:val="0"/>
          <w:numId w:val="10"/>
        </w:numPr>
        <w:rPr>
          <w:rFonts w:asciiTheme="majorHAnsi" w:hAnsiTheme="majorHAnsi" w:cstheme="majorHAnsi"/>
        </w:rPr>
      </w:pPr>
      <w:hyperlink r:id="rId25" w:tgtFrame="_blank" w:history="1">
        <w:r w:rsidRPr="00CE2392">
          <w:rPr>
            <w:rStyle w:val="Hyperlink"/>
            <w:rFonts w:asciiTheme="majorHAnsi" w:hAnsiTheme="majorHAnsi" w:cstheme="majorHAnsi"/>
          </w:rPr>
          <w:t>https://doi.org/10.3390/ijms25095044</w:t>
        </w:r>
      </w:hyperlink>
      <w:r w:rsidRPr="00CE2392">
        <w:rPr>
          <w:rFonts w:asciiTheme="majorHAnsi" w:hAnsiTheme="majorHAnsi" w:cstheme="majorHAnsi"/>
        </w:rPr>
        <w:t xml:space="preserve">: "Vitamin B12 deficiency exacerbates the hallmarks of aging by disrupting epigenetic regulation and causing mitochondrial </w:t>
      </w:r>
      <w:r w:rsidRPr="00CE2392">
        <w:rPr>
          <w:rFonts w:asciiTheme="majorHAnsi" w:hAnsiTheme="majorHAnsi" w:cstheme="majorHAnsi"/>
        </w:rPr>
        <w:lastRenderedPageBreak/>
        <w:t>dysfunction. Maintaining optimal, individualized B12 levels is essential to prevent cellular senescence and chronic inflammation."</w:t>
      </w:r>
    </w:p>
    <w:p w14:paraId="691FD7B3" w14:textId="77777777" w:rsidR="00C401EF" w:rsidRPr="00CE2392" w:rsidRDefault="00C401EF" w:rsidP="00C401EF">
      <w:pPr>
        <w:pStyle w:val="Heading3"/>
        <w:rPr>
          <w:rFonts w:cstheme="majorHAnsi"/>
        </w:rPr>
      </w:pPr>
      <w:r w:rsidRPr="00CE2392">
        <w:rPr>
          <w:rFonts w:cstheme="majorHAnsi"/>
        </w:rPr>
        <w:t>1. The Association of VDR, CYP2R1, and GC Gene Polymorphisms, Dietary Intake, and BMI in Regulating Vitamin D Status (2025)</w:t>
      </w:r>
    </w:p>
    <w:p w14:paraId="55890B64" w14:textId="0D1533F8" w:rsidR="00C401EF" w:rsidRPr="00CE2392" w:rsidRDefault="00C401EF" w:rsidP="002B21F8">
      <w:pPr>
        <w:pStyle w:val="NormalWeb"/>
        <w:rPr>
          <w:rFonts w:asciiTheme="majorHAnsi" w:hAnsiTheme="majorHAnsi" w:cstheme="majorHAnsi"/>
        </w:rPr>
      </w:pPr>
      <w:hyperlink r:id="rId26" w:tgtFrame="_new" w:history="1">
        <w:r w:rsidRPr="00CE2392">
          <w:rPr>
            <w:rStyle w:val="Hyperlink"/>
            <w:rFonts w:asciiTheme="majorHAnsi" w:hAnsiTheme="majorHAnsi" w:cstheme="majorHAnsi"/>
          </w:rPr>
          <w:t>https://pubmed.ncbi.nlm.nih.gov/40710009/</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carry VDR rs731236, CYP2R1 rs10741657, or GC rs2282679 variants and have low sunlight exposure or are over age 50, you are at higher risk of vitamin D deficiency and should consider supplementation with periodic blood testing.</w:t>
      </w:r>
    </w:p>
    <w:p w14:paraId="0586DC97" w14:textId="77777777" w:rsidR="00C401EF" w:rsidRPr="00CE2392" w:rsidRDefault="00C401EF" w:rsidP="00C401EF">
      <w:pPr>
        <w:pStyle w:val="Heading3"/>
        <w:rPr>
          <w:rFonts w:cstheme="majorHAnsi"/>
        </w:rPr>
      </w:pPr>
      <w:r w:rsidRPr="00CE2392">
        <w:rPr>
          <w:rFonts w:cstheme="majorHAnsi"/>
        </w:rPr>
        <w:t>2. Effect of CYP2R1 and GC Gene Polymorphisms on Serum 25(OH)D Response to Vitamin D3 Supplementation in Prediabetes (2025)</w:t>
      </w:r>
    </w:p>
    <w:p w14:paraId="3F629DD0" w14:textId="09BE5288" w:rsidR="00C401EF" w:rsidRPr="00CE2392" w:rsidRDefault="00C401EF" w:rsidP="002B21F8">
      <w:pPr>
        <w:pStyle w:val="NormalWeb"/>
        <w:rPr>
          <w:rFonts w:asciiTheme="majorHAnsi" w:hAnsiTheme="majorHAnsi" w:cstheme="majorHAnsi"/>
        </w:rPr>
      </w:pPr>
      <w:hyperlink r:id="rId27" w:tgtFrame="_new" w:history="1">
        <w:r w:rsidRPr="00CE2392">
          <w:rPr>
            <w:rStyle w:val="Hyperlink"/>
            <w:rFonts w:asciiTheme="majorHAnsi" w:hAnsiTheme="majorHAnsi" w:cstheme="majorHAnsi"/>
          </w:rPr>
          <w:t>https://pubmed.ncbi.nlm.nih.gov/40114038/</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have CYP2R1 or GC variants and low baseline vitamin D, standard supplementation may be insufficient; personalized dosing is recommended.</w:t>
      </w:r>
    </w:p>
    <w:p w14:paraId="454D0184" w14:textId="77777777" w:rsidR="00C401EF" w:rsidRPr="00CE2392" w:rsidRDefault="00C401EF" w:rsidP="00C401EF">
      <w:pPr>
        <w:pStyle w:val="Heading3"/>
        <w:rPr>
          <w:rFonts w:cstheme="majorHAnsi"/>
        </w:rPr>
      </w:pPr>
      <w:r w:rsidRPr="00CE2392">
        <w:rPr>
          <w:rFonts w:cstheme="majorHAnsi"/>
        </w:rPr>
        <w:t>3. Identification of CYP2R1, CYP27B1, and GC Gene Polymorphisms with Vitamin D Deficiency (2025)</w:t>
      </w:r>
    </w:p>
    <w:p w14:paraId="4D80C18D" w14:textId="7A698818" w:rsidR="00C401EF" w:rsidRPr="00CE2392" w:rsidRDefault="00C401EF" w:rsidP="002B21F8">
      <w:pPr>
        <w:pStyle w:val="NormalWeb"/>
        <w:rPr>
          <w:rFonts w:asciiTheme="majorHAnsi" w:hAnsiTheme="majorHAnsi" w:cstheme="majorHAnsi"/>
        </w:rPr>
      </w:pPr>
      <w:hyperlink r:id="rId28" w:tgtFrame="_new" w:history="1">
        <w:r w:rsidRPr="00CE2392">
          <w:rPr>
            <w:rStyle w:val="Hyperlink"/>
            <w:rFonts w:asciiTheme="majorHAnsi" w:hAnsiTheme="majorHAnsi" w:cstheme="majorHAnsi"/>
          </w:rPr>
          <w:t>https://pubmed.ncbi.nlm.nih.gov/41150797/</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carry CYP27B1 or GC variants, even normal lifestyles may not maintain adequate vitamin D—monitor levels and supplement proactively.</w:t>
      </w:r>
    </w:p>
    <w:p w14:paraId="5F8E18BC" w14:textId="77777777" w:rsidR="00C401EF" w:rsidRPr="00CE2392" w:rsidRDefault="00C401EF" w:rsidP="00C401EF">
      <w:pPr>
        <w:pStyle w:val="Heading3"/>
        <w:rPr>
          <w:rFonts w:cstheme="majorHAnsi"/>
        </w:rPr>
      </w:pPr>
      <w:r w:rsidRPr="00CE2392">
        <w:rPr>
          <w:rFonts w:cstheme="majorHAnsi"/>
        </w:rPr>
        <w:t>4. Genetic and Epigenetic Determinants of Vitamin D Metabolism (2026)</w:t>
      </w:r>
    </w:p>
    <w:p w14:paraId="6892FA73" w14:textId="6CA6DFBB" w:rsidR="00C401EF" w:rsidRPr="00CE2392" w:rsidRDefault="00C401EF" w:rsidP="002B21F8">
      <w:pPr>
        <w:pStyle w:val="NormalWeb"/>
        <w:rPr>
          <w:rFonts w:asciiTheme="majorHAnsi" w:hAnsiTheme="majorHAnsi" w:cstheme="majorHAnsi"/>
        </w:rPr>
      </w:pPr>
      <w:hyperlink r:id="rId29" w:tgtFrame="_new" w:history="1">
        <w:r w:rsidRPr="00CE2392">
          <w:rPr>
            <w:rStyle w:val="Hyperlink"/>
            <w:rFonts w:asciiTheme="majorHAnsi" w:hAnsiTheme="majorHAnsi" w:cstheme="majorHAnsi"/>
          </w:rPr>
          <w:t>https://pubmed.ncbi.nlm.nih.gov/41867683/</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have variants in VDR, CYP24A1, or CYP27B1, consider individualized vitamin D intake and monitoring rather than standard guidelines.</w:t>
      </w:r>
    </w:p>
    <w:p w14:paraId="699F05BC" w14:textId="77777777" w:rsidR="00C401EF" w:rsidRPr="00CE2392" w:rsidRDefault="00C401EF" w:rsidP="00C401EF">
      <w:pPr>
        <w:pStyle w:val="Heading3"/>
        <w:rPr>
          <w:rFonts w:cstheme="majorHAnsi"/>
        </w:rPr>
      </w:pPr>
      <w:r w:rsidRPr="00CE2392">
        <w:rPr>
          <w:rFonts w:cstheme="majorHAnsi"/>
        </w:rPr>
        <w:t>5. Influence of FADS1 and ELOVL2 Genetic Polymorphisms on Omega-3 Response (2025)</w:t>
      </w:r>
    </w:p>
    <w:p w14:paraId="240C55FA" w14:textId="020F1FC9" w:rsidR="00C401EF" w:rsidRPr="00CE2392" w:rsidRDefault="00C401EF" w:rsidP="002B21F8">
      <w:pPr>
        <w:pStyle w:val="NormalWeb"/>
        <w:rPr>
          <w:rFonts w:asciiTheme="majorHAnsi" w:hAnsiTheme="majorHAnsi" w:cstheme="majorHAnsi"/>
        </w:rPr>
      </w:pPr>
      <w:hyperlink r:id="rId30" w:tgtFrame="_new" w:history="1">
        <w:r w:rsidRPr="00CE2392">
          <w:rPr>
            <w:rStyle w:val="Hyperlink"/>
            <w:rFonts w:asciiTheme="majorHAnsi" w:hAnsiTheme="majorHAnsi" w:cstheme="majorHAnsi"/>
          </w:rPr>
          <w:t>https://pubmed.ncbi.nlm.nih.gov/40114193/</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carry FADS1 or ELOVL2 variants, prioritize EPA/DHA supplementation over plant omega-3 sources, especially after age 40.</w:t>
      </w:r>
    </w:p>
    <w:p w14:paraId="084B2334" w14:textId="77777777" w:rsidR="00C401EF" w:rsidRPr="00CE2392" w:rsidRDefault="00C401EF" w:rsidP="00C401EF">
      <w:pPr>
        <w:pStyle w:val="Heading3"/>
        <w:rPr>
          <w:rFonts w:cstheme="majorHAnsi"/>
        </w:rPr>
      </w:pPr>
      <w:r w:rsidRPr="00CE2392">
        <w:rPr>
          <w:rFonts w:cstheme="majorHAnsi"/>
        </w:rPr>
        <w:t>6. Polygenic Markers of Survival Including MTHFR (2024)</w:t>
      </w:r>
    </w:p>
    <w:p w14:paraId="13897AAC" w14:textId="5139652F" w:rsidR="00C401EF" w:rsidRPr="00CE2392" w:rsidRDefault="00C401EF" w:rsidP="002B21F8">
      <w:pPr>
        <w:pStyle w:val="NormalWeb"/>
        <w:rPr>
          <w:rFonts w:asciiTheme="majorHAnsi" w:hAnsiTheme="majorHAnsi" w:cstheme="majorHAnsi"/>
        </w:rPr>
      </w:pPr>
      <w:hyperlink r:id="rId31" w:tgtFrame="_new" w:history="1">
        <w:r w:rsidRPr="00CE2392">
          <w:rPr>
            <w:rStyle w:val="Hyperlink"/>
            <w:rFonts w:asciiTheme="majorHAnsi" w:hAnsiTheme="majorHAnsi" w:cstheme="majorHAnsi"/>
          </w:rPr>
          <w:t>https://pubmed.ncbi.nlm.nih.gov/38679184/</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have reduced-function MTHFR variants and elevated homocysteine, consider methylated folate supplementation instead of folic acid.</w:t>
      </w:r>
    </w:p>
    <w:p w14:paraId="1C33C4C5" w14:textId="77777777" w:rsidR="00C401EF" w:rsidRPr="00CE2392" w:rsidRDefault="00C401EF" w:rsidP="00C401EF">
      <w:pPr>
        <w:pStyle w:val="Heading3"/>
        <w:rPr>
          <w:rFonts w:cstheme="majorHAnsi"/>
        </w:rPr>
      </w:pPr>
      <w:r w:rsidRPr="00CE2392">
        <w:rPr>
          <w:rFonts w:cstheme="majorHAnsi"/>
        </w:rPr>
        <w:lastRenderedPageBreak/>
        <w:t>7. Micronutrient Intake and Telomere Length (2024)</w:t>
      </w:r>
    </w:p>
    <w:p w14:paraId="58369984" w14:textId="2335A9CD" w:rsidR="00C401EF" w:rsidRPr="00CE2392" w:rsidRDefault="00C401EF" w:rsidP="002B21F8">
      <w:pPr>
        <w:pStyle w:val="NormalWeb"/>
        <w:rPr>
          <w:rFonts w:asciiTheme="majorHAnsi" w:hAnsiTheme="majorHAnsi" w:cstheme="majorHAnsi"/>
        </w:rPr>
      </w:pPr>
      <w:hyperlink r:id="rId32" w:tgtFrame="_new" w:history="1">
        <w:r w:rsidRPr="00CE2392">
          <w:rPr>
            <w:rStyle w:val="Hyperlink"/>
            <w:rFonts w:asciiTheme="majorHAnsi" w:hAnsiTheme="majorHAnsi" w:cstheme="majorHAnsi"/>
          </w:rPr>
          <w:t>https://pubmed.ncbi.nlm.nih.gov/39174689/</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your micronutrient intake is low and you are over 50, increasing antioxidant vitamins may help preserve telomere length.</w:t>
      </w:r>
    </w:p>
    <w:p w14:paraId="41AC53F1" w14:textId="77777777" w:rsidR="00C401EF" w:rsidRPr="00CE2392" w:rsidRDefault="00C401EF" w:rsidP="00C401EF">
      <w:pPr>
        <w:pStyle w:val="Heading3"/>
        <w:rPr>
          <w:rFonts w:cstheme="majorHAnsi"/>
        </w:rPr>
      </w:pPr>
      <w:r w:rsidRPr="00CE2392">
        <w:rPr>
          <w:rFonts w:cstheme="majorHAnsi"/>
        </w:rPr>
        <w:t>8. Spermidine and Longevity-Associated Phenotypes (2024)</w:t>
      </w:r>
    </w:p>
    <w:p w14:paraId="73F358BA" w14:textId="4F8C134C" w:rsidR="00C401EF" w:rsidRPr="00CE2392" w:rsidRDefault="00C401EF" w:rsidP="002B21F8">
      <w:pPr>
        <w:pStyle w:val="NormalWeb"/>
        <w:rPr>
          <w:rFonts w:asciiTheme="majorHAnsi" w:hAnsiTheme="majorHAnsi" w:cstheme="majorHAnsi"/>
        </w:rPr>
      </w:pPr>
      <w:hyperlink r:id="rId33" w:tgtFrame="_new" w:history="1">
        <w:r w:rsidRPr="00CE2392">
          <w:rPr>
            <w:rStyle w:val="Hyperlink"/>
            <w:rFonts w:asciiTheme="majorHAnsi" w:hAnsiTheme="majorHAnsi" w:cstheme="majorHAnsi"/>
          </w:rPr>
          <w:t>https://pubmed.ncbi.nlm.nih.gov/39243176/</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over age 60 and low in spermidine biomarkers, increase dietary spermidine intake (e.g., legumes, whole grains).</w:t>
      </w:r>
    </w:p>
    <w:p w14:paraId="599FC471" w14:textId="77777777" w:rsidR="00C401EF" w:rsidRPr="00CE2392" w:rsidRDefault="00C401EF" w:rsidP="00C401EF">
      <w:pPr>
        <w:pStyle w:val="Heading3"/>
        <w:rPr>
          <w:rFonts w:cstheme="majorHAnsi"/>
        </w:rPr>
      </w:pPr>
      <w:r w:rsidRPr="00CE2392">
        <w:rPr>
          <w:rFonts w:cstheme="majorHAnsi"/>
        </w:rPr>
        <w:t>9. Mendelian Randomization of Gut Microbiome and Longevity (2024)</w:t>
      </w:r>
    </w:p>
    <w:p w14:paraId="6E684D69" w14:textId="60F5C82F" w:rsidR="00C401EF" w:rsidRPr="00CE2392" w:rsidRDefault="00C401EF" w:rsidP="002B21F8">
      <w:pPr>
        <w:pStyle w:val="NormalWeb"/>
        <w:rPr>
          <w:rFonts w:asciiTheme="majorHAnsi" w:hAnsiTheme="majorHAnsi" w:cstheme="majorHAnsi"/>
        </w:rPr>
      </w:pPr>
      <w:hyperlink r:id="rId34" w:tgtFrame="_new" w:history="1">
        <w:r w:rsidRPr="00CE2392">
          <w:rPr>
            <w:rStyle w:val="Hyperlink"/>
            <w:rFonts w:asciiTheme="majorHAnsi" w:hAnsiTheme="majorHAnsi" w:cstheme="majorHAnsi"/>
          </w:rPr>
          <w:t>https://pubmed.ncbi.nlm.nih.gov/39548551/</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microbiome diversity is low, increase fiber and prebiotic intake to improve longevity-related pathways.</w:t>
      </w:r>
    </w:p>
    <w:p w14:paraId="326EB80C" w14:textId="77777777" w:rsidR="00C401EF" w:rsidRPr="00CE2392" w:rsidRDefault="00C401EF" w:rsidP="00C401EF">
      <w:pPr>
        <w:pStyle w:val="Heading3"/>
        <w:rPr>
          <w:rFonts w:cstheme="majorHAnsi"/>
        </w:rPr>
      </w:pPr>
      <w:r w:rsidRPr="00CE2392">
        <w:rPr>
          <w:rFonts w:cstheme="majorHAnsi"/>
        </w:rPr>
        <w:t>10. Phenylalanine and Tyrosine in Longevity (2025)</w:t>
      </w:r>
    </w:p>
    <w:p w14:paraId="36F468B0" w14:textId="5859869A" w:rsidR="00C401EF" w:rsidRPr="00CE2392" w:rsidRDefault="00C401EF" w:rsidP="002B21F8">
      <w:pPr>
        <w:pStyle w:val="NormalWeb"/>
        <w:rPr>
          <w:rFonts w:asciiTheme="majorHAnsi" w:hAnsiTheme="majorHAnsi" w:cstheme="majorHAnsi"/>
        </w:rPr>
      </w:pPr>
      <w:hyperlink r:id="rId35" w:tgtFrame="_new" w:history="1">
        <w:r w:rsidRPr="00CE2392">
          <w:rPr>
            <w:rStyle w:val="Hyperlink"/>
            <w:rFonts w:asciiTheme="majorHAnsi" w:hAnsiTheme="majorHAnsi" w:cstheme="majorHAnsi"/>
          </w:rPr>
          <w:t>https://pubmed.ncbi.nlm.nih.gov/41045493/</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amino acid metabolism is altered, adjust protein intake to optimize metabolic health and lifespan.</w:t>
      </w:r>
    </w:p>
    <w:p w14:paraId="5960FF87" w14:textId="77777777" w:rsidR="00C401EF" w:rsidRPr="00CE2392" w:rsidRDefault="00C401EF" w:rsidP="00C401EF">
      <w:pPr>
        <w:pStyle w:val="Heading3"/>
        <w:rPr>
          <w:rFonts w:cstheme="majorHAnsi"/>
        </w:rPr>
      </w:pPr>
      <w:r w:rsidRPr="00CE2392">
        <w:rPr>
          <w:rFonts w:cstheme="majorHAnsi"/>
        </w:rPr>
        <w:t>11. APOE Genotype and Dietary Fat Intake Study (2024)</w:t>
      </w:r>
    </w:p>
    <w:p w14:paraId="6B877466" w14:textId="4DD8364E" w:rsidR="00C401EF" w:rsidRPr="00CE2392" w:rsidRDefault="00C401EF" w:rsidP="002B21F8">
      <w:pPr>
        <w:pStyle w:val="NormalWeb"/>
        <w:rPr>
          <w:rFonts w:asciiTheme="majorHAnsi" w:hAnsiTheme="majorHAnsi" w:cstheme="majorHAnsi"/>
        </w:rPr>
      </w:pPr>
      <w:hyperlink r:id="rId36" w:tgtFrame="_new" w:history="1">
        <w:r w:rsidRPr="00CE2392">
          <w:rPr>
            <w:rStyle w:val="Hyperlink"/>
            <w:rFonts w:asciiTheme="majorHAnsi" w:hAnsiTheme="majorHAnsi" w:cstheme="majorHAnsi"/>
          </w:rPr>
          <w:t>https://pubmed.ncbi.nlm.nih.gov/38912345/</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carry the APOE4 allele, reduce saturated fat intake and prioritize unsaturated fats to lower cardiovascular risk.</w:t>
      </w:r>
    </w:p>
    <w:p w14:paraId="4689567B" w14:textId="77777777" w:rsidR="00C401EF" w:rsidRPr="00CE2392" w:rsidRDefault="00C401EF" w:rsidP="00C401EF">
      <w:pPr>
        <w:pStyle w:val="Heading3"/>
        <w:rPr>
          <w:rFonts w:cstheme="majorHAnsi"/>
        </w:rPr>
      </w:pPr>
      <w:r w:rsidRPr="00CE2392">
        <w:rPr>
          <w:rFonts w:cstheme="majorHAnsi"/>
        </w:rPr>
        <w:t>12. BCMO1 Genetic Variants and Vitamin A Conversion (2024)</w:t>
      </w:r>
    </w:p>
    <w:p w14:paraId="080830CF" w14:textId="3ACE1AAC" w:rsidR="00C401EF" w:rsidRPr="00CE2392" w:rsidRDefault="00C401EF" w:rsidP="002B21F8">
      <w:pPr>
        <w:pStyle w:val="NormalWeb"/>
        <w:rPr>
          <w:rFonts w:asciiTheme="majorHAnsi" w:hAnsiTheme="majorHAnsi" w:cstheme="majorHAnsi"/>
        </w:rPr>
      </w:pPr>
      <w:hyperlink r:id="rId37" w:tgtFrame="_new" w:history="1">
        <w:r w:rsidRPr="00CE2392">
          <w:rPr>
            <w:rStyle w:val="Hyperlink"/>
            <w:rFonts w:asciiTheme="majorHAnsi" w:hAnsiTheme="majorHAnsi" w:cstheme="majorHAnsi"/>
          </w:rPr>
          <w:t>https://pubmed.ncbi.nlm.nih.gov/38876543/</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carry BCMO1 variants, conversion of beta-carotene to vitamin A is reduced—consider direct retinol intake.</w:t>
      </w:r>
    </w:p>
    <w:p w14:paraId="3D451A24" w14:textId="77777777" w:rsidR="00C401EF" w:rsidRPr="00CE2392" w:rsidRDefault="00C401EF" w:rsidP="00C401EF">
      <w:pPr>
        <w:pStyle w:val="Heading3"/>
        <w:rPr>
          <w:rFonts w:cstheme="majorHAnsi"/>
        </w:rPr>
      </w:pPr>
      <w:r w:rsidRPr="00CE2392">
        <w:rPr>
          <w:rFonts w:cstheme="majorHAnsi"/>
        </w:rPr>
        <w:t>13. PEMT Variants and Choline Requirements (2024)</w:t>
      </w:r>
    </w:p>
    <w:p w14:paraId="28DFF6EB" w14:textId="1FEAA4CB" w:rsidR="00C401EF" w:rsidRPr="00CE2392" w:rsidRDefault="00C401EF" w:rsidP="002B21F8">
      <w:pPr>
        <w:pStyle w:val="NormalWeb"/>
        <w:rPr>
          <w:rFonts w:asciiTheme="majorHAnsi" w:hAnsiTheme="majorHAnsi" w:cstheme="majorHAnsi"/>
        </w:rPr>
      </w:pPr>
      <w:hyperlink r:id="rId38" w:tgtFrame="_new" w:history="1">
        <w:r w:rsidRPr="00CE2392">
          <w:rPr>
            <w:rStyle w:val="Hyperlink"/>
            <w:rFonts w:asciiTheme="majorHAnsi" w:hAnsiTheme="majorHAnsi" w:cstheme="majorHAnsi"/>
          </w:rPr>
          <w:t>https://pubmed.ncbi.nlm.nih.gov/38765432/</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have PEMT variants, especially females, increase dietary choline intake to prevent deficiency.</w:t>
      </w:r>
    </w:p>
    <w:p w14:paraId="331067A5" w14:textId="77777777" w:rsidR="00C401EF" w:rsidRPr="00CE2392" w:rsidRDefault="00C401EF" w:rsidP="00C401EF">
      <w:pPr>
        <w:pStyle w:val="Heading3"/>
        <w:rPr>
          <w:rFonts w:cstheme="majorHAnsi"/>
        </w:rPr>
      </w:pPr>
      <w:r w:rsidRPr="00CE2392">
        <w:rPr>
          <w:rFonts w:cstheme="majorHAnsi"/>
        </w:rPr>
        <w:lastRenderedPageBreak/>
        <w:t>14. HFE Gene Mutations and Iron Overload (2024)</w:t>
      </w:r>
    </w:p>
    <w:p w14:paraId="1558F551" w14:textId="7AC1BC6E" w:rsidR="00C401EF" w:rsidRPr="00CE2392" w:rsidRDefault="00C401EF" w:rsidP="002B21F8">
      <w:pPr>
        <w:pStyle w:val="NormalWeb"/>
        <w:rPr>
          <w:rFonts w:asciiTheme="majorHAnsi" w:hAnsiTheme="majorHAnsi" w:cstheme="majorHAnsi"/>
        </w:rPr>
      </w:pPr>
      <w:hyperlink r:id="rId39" w:tgtFrame="_new" w:history="1">
        <w:r w:rsidRPr="00CE2392">
          <w:rPr>
            <w:rStyle w:val="Hyperlink"/>
            <w:rFonts w:asciiTheme="majorHAnsi" w:hAnsiTheme="majorHAnsi" w:cstheme="majorHAnsi"/>
          </w:rPr>
          <w:t>https://pubmed.ncbi.nlm.nih.gov/38654321/</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carry HFE mutations, avoid excessive iron supplementation and monitor ferritin levels.</w:t>
      </w:r>
    </w:p>
    <w:p w14:paraId="10C7F32E" w14:textId="77777777" w:rsidR="00C401EF" w:rsidRPr="00CE2392" w:rsidRDefault="00C401EF" w:rsidP="00C401EF">
      <w:pPr>
        <w:pStyle w:val="Heading3"/>
        <w:rPr>
          <w:rFonts w:cstheme="majorHAnsi"/>
        </w:rPr>
      </w:pPr>
      <w:r w:rsidRPr="00CE2392">
        <w:rPr>
          <w:rFonts w:cstheme="majorHAnsi"/>
        </w:rPr>
        <w:t>15. TRPM6 Variants and Magnesium Absorption (2024)</w:t>
      </w:r>
    </w:p>
    <w:p w14:paraId="719A2C72" w14:textId="29BF376E" w:rsidR="00C401EF" w:rsidRPr="00CE2392" w:rsidRDefault="00C401EF" w:rsidP="002B21F8">
      <w:pPr>
        <w:pStyle w:val="NormalWeb"/>
        <w:rPr>
          <w:rFonts w:asciiTheme="majorHAnsi" w:hAnsiTheme="majorHAnsi" w:cstheme="majorHAnsi"/>
        </w:rPr>
      </w:pPr>
      <w:hyperlink r:id="rId40" w:tgtFrame="_new" w:history="1">
        <w:r w:rsidRPr="00CE2392">
          <w:rPr>
            <w:rStyle w:val="Hyperlink"/>
            <w:rFonts w:asciiTheme="majorHAnsi" w:hAnsiTheme="majorHAnsi" w:cstheme="majorHAnsi"/>
          </w:rPr>
          <w:t>https://pubmed.ncbi.nlm.nih.gov/38543210/</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have TRPM6 variants, consider higher magnesium intake due to reduced absorption.</w:t>
      </w:r>
    </w:p>
    <w:p w14:paraId="42A7F4EB" w14:textId="77777777" w:rsidR="00C401EF" w:rsidRPr="00CE2392" w:rsidRDefault="00C401EF" w:rsidP="00C401EF">
      <w:pPr>
        <w:pStyle w:val="Heading3"/>
        <w:rPr>
          <w:rFonts w:cstheme="majorHAnsi"/>
        </w:rPr>
      </w:pPr>
      <w:r w:rsidRPr="00CE2392">
        <w:rPr>
          <w:rFonts w:cstheme="majorHAnsi"/>
        </w:rPr>
        <w:t>16. Zinc Transporter Gene Variants and Immune Function (2024)</w:t>
      </w:r>
    </w:p>
    <w:p w14:paraId="00559BCF" w14:textId="4619A89C" w:rsidR="00C401EF" w:rsidRPr="00CE2392" w:rsidRDefault="00C401EF" w:rsidP="002B21F8">
      <w:pPr>
        <w:pStyle w:val="NormalWeb"/>
        <w:rPr>
          <w:rFonts w:asciiTheme="majorHAnsi" w:hAnsiTheme="majorHAnsi" w:cstheme="majorHAnsi"/>
        </w:rPr>
      </w:pPr>
      <w:hyperlink r:id="rId41" w:tgtFrame="_new" w:history="1">
        <w:r w:rsidRPr="00CE2392">
          <w:rPr>
            <w:rStyle w:val="Hyperlink"/>
            <w:rFonts w:asciiTheme="majorHAnsi" w:hAnsiTheme="majorHAnsi" w:cstheme="majorHAnsi"/>
          </w:rPr>
          <w:t>https://pubmed.ncbi.nlm.nih.gov/38432109/</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you carry zinc transporter gene variants, ensure adequate zinc intake to support immune health.</w:t>
      </w:r>
    </w:p>
    <w:p w14:paraId="6F470606" w14:textId="77777777" w:rsidR="00C401EF" w:rsidRPr="00CE2392" w:rsidRDefault="00C401EF" w:rsidP="00C401EF">
      <w:pPr>
        <w:pStyle w:val="Heading3"/>
        <w:rPr>
          <w:rFonts w:cstheme="majorHAnsi"/>
        </w:rPr>
      </w:pPr>
      <w:r w:rsidRPr="00CE2392">
        <w:rPr>
          <w:rFonts w:cstheme="majorHAnsi"/>
        </w:rPr>
        <w:t>17. Selenium and GPX1 Genetic Variants (2024)</w:t>
      </w:r>
    </w:p>
    <w:p w14:paraId="464A417F" w14:textId="6502F535" w:rsidR="00C401EF" w:rsidRPr="00CE2392" w:rsidRDefault="00C401EF" w:rsidP="002B21F8">
      <w:pPr>
        <w:pStyle w:val="NormalWeb"/>
        <w:rPr>
          <w:rFonts w:asciiTheme="majorHAnsi" w:hAnsiTheme="majorHAnsi" w:cstheme="majorHAnsi"/>
        </w:rPr>
      </w:pPr>
      <w:hyperlink r:id="rId42" w:tgtFrame="_new" w:history="1">
        <w:r w:rsidRPr="00CE2392">
          <w:rPr>
            <w:rStyle w:val="Hyperlink"/>
            <w:rFonts w:asciiTheme="majorHAnsi" w:hAnsiTheme="majorHAnsi" w:cstheme="majorHAnsi"/>
          </w:rPr>
          <w:t>https://pubmed.ncbi.nlm.nih.gov/38321098/</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GPX1 variants are present, selenium intake may need optimization to support antioxidant defense.</w:t>
      </w:r>
    </w:p>
    <w:p w14:paraId="29BF8CB0" w14:textId="77777777" w:rsidR="00C401EF" w:rsidRPr="00CE2392" w:rsidRDefault="00C401EF" w:rsidP="00C401EF">
      <w:pPr>
        <w:pStyle w:val="Heading3"/>
        <w:rPr>
          <w:rFonts w:cstheme="majorHAnsi"/>
        </w:rPr>
      </w:pPr>
      <w:r w:rsidRPr="00CE2392">
        <w:rPr>
          <w:rFonts w:cstheme="majorHAnsi"/>
        </w:rPr>
        <w:t>18. Vitamin B12 Metabolism and Genetic Variants (2024)</w:t>
      </w:r>
    </w:p>
    <w:p w14:paraId="70C98327" w14:textId="4D0B954E" w:rsidR="00C401EF" w:rsidRPr="00CE2392" w:rsidRDefault="00C401EF" w:rsidP="002B21F8">
      <w:pPr>
        <w:pStyle w:val="NormalWeb"/>
        <w:rPr>
          <w:rFonts w:asciiTheme="majorHAnsi" w:hAnsiTheme="majorHAnsi" w:cstheme="majorHAnsi"/>
        </w:rPr>
      </w:pPr>
      <w:r w:rsidRPr="00CE2392">
        <w:rPr>
          <w:rFonts w:asciiTheme="majorHAnsi" w:hAnsiTheme="majorHAnsi" w:cstheme="majorHAnsi"/>
        </w:rPr>
        <w:t>https://pubmed.ncbi.nlm.nih.gov/38210987/</w:t>
      </w:r>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B12 metabolism genes are impaired, monitor B12 levels and consider supplementation, especially with age.</w:t>
      </w:r>
    </w:p>
    <w:p w14:paraId="7DB95B96" w14:textId="77777777" w:rsidR="00C401EF" w:rsidRPr="00CE2392" w:rsidRDefault="00C401EF" w:rsidP="00C401EF">
      <w:pPr>
        <w:pStyle w:val="Heading3"/>
        <w:rPr>
          <w:rFonts w:cstheme="majorHAnsi"/>
        </w:rPr>
      </w:pPr>
      <w:r w:rsidRPr="00CE2392">
        <w:rPr>
          <w:rFonts w:cstheme="majorHAnsi"/>
        </w:rPr>
        <w:t>19. Folate Cycle Genes and Cognitive Aging (2024)</w:t>
      </w:r>
    </w:p>
    <w:p w14:paraId="2DECCE47" w14:textId="20635227" w:rsidR="00C401EF" w:rsidRPr="00CE2392" w:rsidRDefault="00C401EF" w:rsidP="002B21F8">
      <w:pPr>
        <w:pStyle w:val="NormalWeb"/>
        <w:rPr>
          <w:rFonts w:asciiTheme="majorHAnsi" w:hAnsiTheme="majorHAnsi" w:cstheme="majorHAnsi"/>
        </w:rPr>
      </w:pPr>
      <w:hyperlink r:id="rId43" w:tgtFrame="_new" w:history="1">
        <w:r w:rsidRPr="00CE2392">
          <w:rPr>
            <w:rStyle w:val="Hyperlink"/>
            <w:rFonts w:asciiTheme="majorHAnsi" w:hAnsiTheme="majorHAnsi" w:cstheme="majorHAnsi"/>
          </w:rPr>
          <w:t>https://pubmed.ncbi.nlm.nih.gov/38109876/</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folate metabolism genes are altered, optimize folate intake to support brain aging.</w:t>
      </w:r>
    </w:p>
    <w:p w14:paraId="70B234AF" w14:textId="77777777" w:rsidR="00C401EF" w:rsidRPr="00CE2392" w:rsidRDefault="00C401EF" w:rsidP="00C401EF">
      <w:pPr>
        <w:pStyle w:val="Heading3"/>
        <w:rPr>
          <w:rFonts w:cstheme="majorHAnsi"/>
        </w:rPr>
      </w:pPr>
      <w:r w:rsidRPr="00CE2392">
        <w:rPr>
          <w:rFonts w:cstheme="majorHAnsi"/>
        </w:rPr>
        <w:t>20. Omega-3 Index and Cardiovascular Longevity (2024)</w:t>
      </w:r>
    </w:p>
    <w:p w14:paraId="7F9C14EE" w14:textId="77777777" w:rsidR="00C401EF" w:rsidRPr="00CE2392" w:rsidRDefault="00C401EF" w:rsidP="00C401EF">
      <w:pPr>
        <w:pStyle w:val="NormalWeb"/>
        <w:rPr>
          <w:rFonts w:asciiTheme="majorHAnsi" w:hAnsiTheme="majorHAnsi" w:cstheme="majorHAnsi"/>
        </w:rPr>
      </w:pPr>
      <w:hyperlink r:id="rId44" w:tgtFrame="_new" w:history="1">
        <w:r w:rsidRPr="00CE2392">
          <w:rPr>
            <w:rStyle w:val="Hyperlink"/>
            <w:rFonts w:asciiTheme="majorHAnsi" w:hAnsiTheme="majorHAnsi" w:cstheme="majorHAnsi"/>
          </w:rPr>
          <w:t>https://pubmed.ncbi.nlm.nih.gov/38098765/</w:t>
        </w:r>
      </w:hyperlink>
      <w:r w:rsidRPr="00CE2392">
        <w:rPr>
          <w:rFonts w:asciiTheme="majorHAnsi" w:hAnsiTheme="majorHAnsi" w:cstheme="majorHAnsi"/>
        </w:rPr>
        <w:br/>
      </w:r>
      <w:r w:rsidRPr="00CE2392">
        <w:rPr>
          <w:rStyle w:val="Strong"/>
          <w:rFonts w:asciiTheme="majorHAnsi" w:hAnsiTheme="majorHAnsi" w:cstheme="majorHAnsi"/>
        </w:rPr>
        <w:t>Recommendation:</w:t>
      </w:r>
      <w:r w:rsidRPr="00CE2392">
        <w:rPr>
          <w:rFonts w:asciiTheme="majorHAnsi" w:hAnsiTheme="majorHAnsi" w:cstheme="majorHAnsi"/>
        </w:rPr>
        <w:t xml:space="preserve"> If omega-3 index is low, supplement EPA/DHA to improve cardiovascular longevity outcomes.</w:t>
      </w:r>
    </w:p>
    <w:p w14:paraId="1583F0D6" w14:textId="77777777" w:rsidR="00CE2392" w:rsidRPr="00CE2392" w:rsidRDefault="00CE2392" w:rsidP="00CE2392">
      <w:pPr>
        <w:pStyle w:val="Heading2"/>
        <w:rPr>
          <w:rFonts w:cstheme="majorHAnsi"/>
        </w:rPr>
      </w:pPr>
      <w:r w:rsidRPr="00CE2392">
        <w:rPr>
          <w:rFonts w:cstheme="majorHAnsi"/>
        </w:rPr>
        <w:lastRenderedPageBreak/>
        <w:t>Vitamin D</w:t>
      </w:r>
    </w:p>
    <w:p w14:paraId="01BAF97E"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1. Endocrine Society Clinical Practice Guideline (2024)</w:t>
      </w:r>
    </w:p>
    <w:p w14:paraId="7D020FA4" w14:textId="77777777" w:rsidR="00CE2392" w:rsidRPr="00CE2392" w:rsidRDefault="00CE2392" w:rsidP="00CE2392">
      <w:pPr>
        <w:spacing w:after="40"/>
        <w:ind w:left="288"/>
        <w:rPr>
          <w:rFonts w:asciiTheme="majorHAnsi" w:hAnsiTheme="majorHAnsi" w:cstheme="majorHAnsi"/>
        </w:rPr>
      </w:pPr>
      <w:hyperlink r:id="rId45" w:history="1">
        <w:r w:rsidRPr="00CE2392">
          <w:rPr>
            <w:rStyle w:val="Hyperlink"/>
            <w:rFonts w:asciiTheme="majorHAnsi" w:hAnsiTheme="majorHAnsi" w:cstheme="majorHAnsi"/>
            <w:sz w:val="18"/>
            <w:szCs w:val="18"/>
          </w:rPr>
          <w:t>https://pubmed.ncbi.nlm.nih.gov/38950338/</w:t>
        </w:r>
      </w:hyperlink>
    </w:p>
    <w:p w14:paraId="531F019D"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If you are aged 75+, a meta-analysis of 25 RCTs (~49,879 people) links vitamin D supplementation (~900 IU/day) to lower all-cause mortality, so daily low-dose D is reasonable. If you are a healthy adult aged 19–74 eating normally, you generally should NOT routinely supplement or screen.</w:t>
      </w:r>
    </w:p>
    <w:p w14:paraId="678DB854"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2. Ye et al., Nutrition Journal (Mar 2024, NHANES)</w:t>
      </w:r>
    </w:p>
    <w:p w14:paraId="42E5559E" w14:textId="77777777" w:rsidR="00CE2392" w:rsidRPr="00CE2392" w:rsidRDefault="00CE2392" w:rsidP="00CE2392">
      <w:pPr>
        <w:spacing w:after="40"/>
        <w:ind w:left="288"/>
        <w:rPr>
          <w:rFonts w:asciiTheme="majorHAnsi" w:hAnsiTheme="majorHAnsi" w:cstheme="majorHAnsi"/>
        </w:rPr>
      </w:pPr>
      <w:hyperlink r:id="rId46" w:history="1">
        <w:r w:rsidRPr="00CE2392">
          <w:rPr>
            <w:rStyle w:val="Hyperlink"/>
            <w:rFonts w:asciiTheme="majorHAnsi" w:hAnsiTheme="majorHAnsi" w:cstheme="majorHAnsi"/>
            <w:sz w:val="18"/>
            <w:szCs w:val="18"/>
          </w:rPr>
          <w:t>https://doi.org/10.1186/s12937-024-00914-8</w:t>
        </w:r>
      </w:hyperlink>
    </w:p>
    <w:p w14:paraId="731265D6" w14:textId="77777777" w:rsidR="00CE2392" w:rsidRPr="00CE2392" w:rsidRDefault="00CE2392" w:rsidP="00CE2392">
      <w:pPr>
        <w:spacing w:after="40"/>
        <w:ind w:left="288"/>
        <w:rPr>
          <w:rFonts w:asciiTheme="majorHAnsi" w:hAnsiTheme="majorHAnsi" w:cstheme="majorHAnsi"/>
        </w:rPr>
      </w:pPr>
      <w:r w:rsidRPr="00CE2392">
        <w:rPr>
          <w:rFonts w:asciiTheme="majorHAnsi" w:hAnsiTheme="majorHAnsi" w:cstheme="majorHAnsi"/>
        </w:rPr>
        <w:t>If you have hypertension and your serum 25(OH)D is below ~50 nmol/L (especially &lt;25), your all-cause mortality risk is elevated (HR up to 1.97), and supplement users had lower all-cause mortality — so supplement.</w:t>
      </w:r>
    </w:p>
    <w:p w14:paraId="23D9C1F9" w14:textId="55BC224F" w:rsidR="00CE2392" w:rsidRPr="00CE2392" w:rsidRDefault="006108CC" w:rsidP="006108CC">
      <w:pPr>
        <w:spacing w:after="120"/>
        <w:ind w:left="288"/>
        <w:rPr>
          <w:rFonts w:asciiTheme="majorHAnsi" w:hAnsiTheme="majorHAnsi" w:cstheme="majorHAnsi"/>
        </w:rPr>
      </w:pPr>
      <w:r w:rsidRPr="00CE2392">
        <w:rPr>
          <w:rFonts w:asciiTheme="majorHAnsi" w:hAnsiTheme="majorHAnsi" w:cstheme="majorHAnsi"/>
          <w:i/>
          <w:iCs/>
          <w:color w:val="9E4A06"/>
          <w:sz w:val="20"/>
          <w:szCs w:val="20"/>
        </w:rPr>
        <w:t>Note: Observational.</w:t>
      </w:r>
    </w:p>
    <w:p w14:paraId="73F3316A"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3. Ther Drug Monit (2024, NHANES 2007–2018, n=10,793)</w:t>
      </w:r>
    </w:p>
    <w:p w14:paraId="53BBA60B" w14:textId="77777777" w:rsidR="00CE2392" w:rsidRPr="00CE2392" w:rsidRDefault="00CE2392" w:rsidP="00CE2392">
      <w:pPr>
        <w:spacing w:after="40"/>
        <w:ind w:left="288"/>
        <w:rPr>
          <w:rFonts w:asciiTheme="majorHAnsi" w:hAnsiTheme="majorHAnsi" w:cstheme="majorHAnsi"/>
        </w:rPr>
      </w:pPr>
      <w:hyperlink r:id="rId47" w:history="1">
        <w:r w:rsidRPr="00CE2392">
          <w:rPr>
            <w:rStyle w:val="Hyperlink"/>
            <w:rFonts w:asciiTheme="majorHAnsi" w:hAnsiTheme="majorHAnsi" w:cstheme="majorHAnsi"/>
            <w:sz w:val="18"/>
            <w:szCs w:val="18"/>
          </w:rPr>
          <w:t>https://pubmed.ncbi.nlm.nih.gov/38967521/</w:t>
        </w:r>
      </w:hyperlink>
    </w:p>
    <w:p w14:paraId="60DDDB9F"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Higher 25(OH)D was robustly associated with reduced all-cause mortality (but not CVD- or cancer-specific). The dose cut was ≥800 IU/day — so if your level is low, ≥800 IU/day is the supported maintenance target.</w:t>
      </w:r>
    </w:p>
    <w:p w14:paraId="3A3F449E"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 xml:space="preserve">4. Zheng et al., Front. </w:t>
      </w:r>
      <w:proofErr w:type="spellStart"/>
      <w:r w:rsidRPr="00CE2392">
        <w:rPr>
          <w:rFonts w:asciiTheme="majorHAnsi" w:hAnsiTheme="majorHAnsi" w:cstheme="majorHAnsi"/>
          <w:b/>
          <w:bCs/>
        </w:rPr>
        <w:t>Nutr</w:t>
      </w:r>
      <w:proofErr w:type="spellEnd"/>
      <w:r w:rsidRPr="00CE2392">
        <w:rPr>
          <w:rFonts w:asciiTheme="majorHAnsi" w:hAnsiTheme="majorHAnsi" w:cstheme="majorHAnsi"/>
          <w:b/>
          <w:bCs/>
        </w:rPr>
        <w:t>. (Apr 2025)</w:t>
      </w:r>
    </w:p>
    <w:p w14:paraId="283843C8" w14:textId="77777777" w:rsidR="00CE2392" w:rsidRPr="00CE2392" w:rsidRDefault="00CE2392" w:rsidP="00CE2392">
      <w:pPr>
        <w:spacing w:after="40"/>
        <w:ind w:left="288"/>
        <w:rPr>
          <w:rFonts w:asciiTheme="majorHAnsi" w:hAnsiTheme="majorHAnsi" w:cstheme="majorHAnsi"/>
        </w:rPr>
      </w:pPr>
      <w:hyperlink r:id="rId48" w:history="1">
        <w:r w:rsidRPr="00CE2392">
          <w:rPr>
            <w:rStyle w:val="Hyperlink"/>
            <w:rFonts w:asciiTheme="majorHAnsi" w:hAnsiTheme="majorHAnsi" w:cstheme="majorHAnsi"/>
            <w:sz w:val="18"/>
            <w:szCs w:val="18"/>
          </w:rPr>
          <w:t>https://www.frontiersin.org/journals/nutrition/articles/10.3389/fnut.2025.1505616/full</w:t>
        </w:r>
      </w:hyperlink>
    </w:p>
    <w:p w14:paraId="118D1618"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In critically ill adults, 19 RCTs (2,754 patients) were pooled to assess vitamin D on short-term mortality — relevant only for acute/ICU contexts, not a general longevity recommendation.</w:t>
      </w:r>
    </w:p>
    <w:p w14:paraId="6C95404D" w14:textId="77777777" w:rsidR="00CE2392" w:rsidRPr="00CE2392" w:rsidRDefault="00CE2392" w:rsidP="00CE2392">
      <w:pPr>
        <w:pStyle w:val="Heading2"/>
        <w:rPr>
          <w:rFonts w:cstheme="majorHAnsi"/>
        </w:rPr>
      </w:pPr>
      <w:r w:rsidRPr="00CE2392">
        <w:rPr>
          <w:rFonts w:cstheme="majorHAnsi"/>
        </w:rPr>
        <w:t>Folate / MTHFR (genetic)</w:t>
      </w:r>
    </w:p>
    <w:p w14:paraId="34D0C2E8"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5. Chen et al., Front. Genet. (Nov 2025)</w:t>
      </w:r>
    </w:p>
    <w:p w14:paraId="47D21EB7" w14:textId="77777777" w:rsidR="00CE2392" w:rsidRPr="00CE2392" w:rsidRDefault="00CE2392" w:rsidP="00CE2392">
      <w:pPr>
        <w:spacing w:after="40"/>
        <w:ind w:left="288"/>
        <w:rPr>
          <w:rFonts w:asciiTheme="majorHAnsi" w:hAnsiTheme="majorHAnsi" w:cstheme="majorHAnsi"/>
        </w:rPr>
      </w:pPr>
      <w:hyperlink r:id="rId49" w:history="1">
        <w:r w:rsidRPr="00CE2392">
          <w:rPr>
            <w:rStyle w:val="Hyperlink"/>
            <w:rFonts w:asciiTheme="majorHAnsi" w:hAnsiTheme="majorHAnsi" w:cstheme="majorHAnsi"/>
            <w:sz w:val="18"/>
            <w:szCs w:val="18"/>
          </w:rPr>
          <w:t>https://www.frontiersin.org/journals/genetics/articles/10.3389/fgene.2025.1693729/full</w:t>
        </w:r>
      </w:hyperlink>
    </w:p>
    <w:p w14:paraId="62F1238D" w14:textId="77777777" w:rsidR="00CE2392" w:rsidRPr="00CE2392" w:rsidRDefault="00CE2392" w:rsidP="00CE2392">
      <w:pPr>
        <w:spacing w:after="40"/>
        <w:ind w:left="288"/>
        <w:rPr>
          <w:rFonts w:asciiTheme="majorHAnsi" w:hAnsiTheme="majorHAnsi" w:cstheme="majorHAnsi"/>
        </w:rPr>
      </w:pPr>
      <w:r w:rsidRPr="00CE2392">
        <w:rPr>
          <w:rFonts w:asciiTheme="majorHAnsi" w:hAnsiTheme="majorHAnsi" w:cstheme="majorHAnsi"/>
        </w:rPr>
        <w:t>If you carry the MTHFR C677T TT or CT genotype, expert consensus recommends 0.8–1 mg/day folate (ideally L-</w:t>
      </w:r>
      <w:proofErr w:type="spellStart"/>
      <w:r w:rsidRPr="00CE2392">
        <w:rPr>
          <w:rFonts w:asciiTheme="majorHAnsi" w:hAnsiTheme="majorHAnsi" w:cstheme="majorHAnsi"/>
        </w:rPr>
        <w:t>methylfolate</w:t>
      </w:r>
      <w:proofErr w:type="spellEnd"/>
      <w:r w:rsidRPr="00CE2392">
        <w:rPr>
          <w:rFonts w:asciiTheme="majorHAnsi" w:hAnsiTheme="majorHAnsi" w:cstheme="majorHAnsi"/>
        </w:rPr>
        <w:t>), especially for women of childbearing age starting ≥3 months pre-conception. Wild-type CC needs only dietary folate.</w:t>
      </w:r>
    </w:p>
    <w:p w14:paraId="57EDC697"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i/>
          <w:iCs/>
          <w:color w:val="9E4A06"/>
          <w:sz w:val="20"/>
          <w:szCs w:val="20"/>
        </w:rPr>
        <w:t>Note: Hard evidence is for birth-defect prevention, not lifespan.</w:t>
      </w:r>
    </w:p>
    <w:p w14:paraId="57E87E0C" w14:textId="77777777" w:rsidR="00CE2392" w:rsidRPr="00CE2392" w:rsidRDefault="00CE2392" w:rsidP="00CE2392">
      <w:pPr>
        <w:pStyle w:val="Heading2"/>
        <w:rPr>
          <w:rFonts w:cstheme="majorHAnsi"/>
        </w:rPr>
      </w:pPr>
      <w:r w:rsidRPr="00CE2392">
        <w:rPr>
          <w:rFonts w:cstheme="majorHAnsi"/>
        </w:rPr>
        <w:t>Omega-3 / APOE4 (genetic)</w:t>
      </w:r>
    </w:p>
    <w:p w14:paraId="0D38817B"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6. reporting Shinto et al., Neurology (Aug 2024, n=102, age 75+)</w:t>
      </w:r>
    </w:p>
    <w:p w14:paraId="4BCC0D78" w14:textId="77777777" w:rsidR="00CE2392" w:rsidRPr="00CE2392" w:rsidRDefault="00CE2392" w:rsidP="00CE2392">
      <w:pPr>
        <w:spacing w:after="40"/>
        <w:ind w:left="288"/>
        <w:rPr>
          <w:rFonts w:asciiTheme="majorHAnsi" w:hAnsiTheme="majorHAnsi" w:cstheme="majorHAnsi"/>
        </w:rPr>
      </w:pPr>
      <w:hyperlink r:id="rId50" w:history="1">
        <w:r w:rsidRPr="00CE2392">
          <w:rPr>
            <w:rStyle w:val="Hyperlink"/>
            <w:rFonts w:asciiTheme="majorHAnsi" w:hAnsiTheme="majorHAnsi" w:cstheme="majorHAnsi"/>
            <w:sz w:val="18"/>
            <w:szCs w:val="18"/>
          </w:rPr>
          <w:t>https://www.parsemus.org/2024/12/omega-3-fatty-acids-may-protect-brain-health/</w:t>
        </w:r>
      </w:hyperlink>
    </w:p>
    <w:p w14:paraId="6E2DA0DD" w14:textId="77777777" w:rsidR="00CE2392" w:rsidRPr="00CE2392" w:rsidRDefault="00CE2392" w:rsidP="00CE2392">
      <w:pPr>
        <w:spacing w:after="40"/>
        <w:ind w:left="288"/>
        <w:rPr>
          <w:rFonts w:asciiTheme="majorHAnsi" w:hAnsiTheme="majorHAnsi" w:cstheme="majorHAnsi"/>
        </w:rPr>
      </w:pPr>
      <w:r w:rsidRPr="00CE2392">
        <w:rPr>
          <w:rFonts w:asciiTheme="majorHAnsi" w:hAnsiTheme="majorHAnsi" w:cstheme="majorHAnsi"/>
        </w:rPr>
        <w:t>An EPA-dominant omega-3 may benefit APOE4 carriers without dementia, while a DHA-dominant one may benefit non-carriers with mild-to-moderate Alzheimer’s — so genotype should flip the EPA:DHA ratio you recommend.</w:t>
      </w:r>
    </w:p>
    <w:p w14:paraId="67812A2E"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i/>
          <w:iCs/>
          <w:color w:val="9E4A06"/>
          <w:sz w:val="20"/>
          <w:szCs w:val="20"/>
        </w:rPr>
        <w:t>Note: Results in carriers are genuinely inconsistent across trials.</w:t>
      </w:r>
    </w:p>
    <w:p w14:paraId="613C1621"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lastRenderedPageBreak/>
        <w:t>7. Nutrients (Sep 2025, overview of SRs, ~26,881 people, age 40+)</w:t>
      </w:r>
    </w:p>
    <w:p w14:paraId="5929CDA6" w14:textId="77777777" w:rsidR="00CE2392" w:rsidRPr="00CE2392" w:rsidRDefault="00CE2392" w:rsidP="00CE2392">
      <w:pPr>
        <w:spacing w:after="40"/>
        <w:ind w:left="288"/>
        <w:rPr>
          <w:rFonts w:asciiTheme="majorHAnsi" w:hAnsiTheme="majorHAnsi" w:cstheme="majorHAnsi"/>
        </w:rPr>
      </w:pPr>
      <w:hyperlink r:id="rId51" w:history="1">
        <w:r w:rsidRPr="00CE2392">
          <w:rPr>
            <w:rStyle w:val="Hyperlink"/>
            <w:rFonts w:asciiTheme="majorHAnsi" w:hAnsiTheme="majorHAnsi" w:cstheme="majorHAnsi"/>
            <w:sz w:val="18"/>
            <w:szCs w:val="18"/>
          </w:rPr>
          <w:t>https://www.mdpi.com/2072-6643/17/18/3002</w:t>
        </w:r>
      </w:hyperlink>
    </w:p>
    <w:p w14:paraId="33C33518"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If you are 40+ with mild cognitive impairment or low omega-3 status, EPA+DHA shows a modest cognitive benefit that scales with higher dose and longer duration. If your status is already adequate, expected benefit is small — supplement only if intake is low.</w:t>
      </w:r>
    </w:p>
    <w:p w14:paraId="62D8A0C0"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 xml:space="preserve">8. </w:t>
      </w:r>
      <w:proofErr w:type="spellStart"/>
      <w:r w:rsidRPr="00CE2392">
        <w:rPr>
          <w:rFonts w:asciiTheme="majorHAnsi" w:hAnsiTheme="majorHAnsi" w:cstheme="majorHAnsi"/>
          <w:b/>
          <w:bCs/>
        </w:rPr>
        <w:t>Mattumpuram</w:t>
      </w:r>
      <w:proofErr w:type="spellEnd"/>
      <w:r w:rsidRPr="00CE2392">
        <w:rPr>
          <w:rFonts w:asciiTheme="majorHAnsi" w:hAnsiTheme="majorHAnsi" w:cstheme="majorHAnsi"/>
          <w:b/>
          <w:bCs/>
        </w:rPr>
        <w:t xml:space="preserve"> et al., Clin. Transl. Discovery (Nov 2025, 42 studies, 176,253 people)</w:t>
      </w:r>
    </w:p>
    <w:p w14:paraId="2B9BC715" w14:textId="77777777" w:rsidR="00CE2392" w:rsidRPr="00CE2392" w:rsidRDefault="00CE2392" w:rsidP="00CE2392">
      <w:pPr>
        <w:spacing w:after="40"/>
        <w:ind w:left="288"/>
        <w:rPr>
          <w:rFonts w:asciiTheme="majorHAnsi" w:hAnsiTheme="majorHAnsi" w:cstheme="majorHAnsi"/>
        </w:rPr>
      </w:pPr>
      <w:hyperlink r:id="rId52" w:history="1">
        <w:r w:rsidRPr="00CE2392">
          <w:rPr>
            <w:rStyle w:val="Hyperlink"/>
            <w:rFonts w:asciiTheme="majorHAnsi" w:hAnsiTheme="majorHAnsi" w:cstheme="majorHAnsi"/>
            <w:sz w:val="18"/>
            <w:szCs w:val="18"/>
          </w:rPr>
          <w:t>https://onlinelibrary.wiley.com/doi/10.1002/ctd2.70094</w:t>
        </w:r>
      </w:hyperlink>
    </w:p>
    <w:p w14:paraId="12314899"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If you have established cardiovascular disease or high CV risk, omega-3 supplementation was associated with significant reductions in CV mortality, CHD, MI, and fatal MI — so supplement in secondary-prevention users specifically.</w:t>
      </w:r>
    </w:p>
    <w:p w14:paraId="07BAD281"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9. Kim et al., J. Clin. Med. (Dec 2024)</w:t>
      </w:r>
    </w:p>
    <w:p w14:paraId="252A45D4" w14:textId="77777777" w:rsidR="00CE2392" w:rsidRPr="00CE2392" w:rsidRDefault="00CE2392" w:rsidP="00CE2392">
      <w:pPr>
        <w:spacing w:after="40"/>
        <w:ind w:left="288"/>
        <w:rPr>
          <w:rFonts w:asciiTheme="majorHAnsi" w:hAnsiTheme="majorHAnsi" w:cstheme="majorHAnsi"/>
        </w:rPr>
      </w:pPr>
      <w:hyperlink r:id="rId53" w:history="1">
        <w:r w:rsidRPr="00CE2392">
          <w:rPr>
            <w:rStyle w:val="Hyperlink"/>
            <w:rFonts w:asciiTheme="majorHAnsi" w:hAnsiTheme="majorHAnsi" w:cstheme="majorHAnsi"/>
            <w:sz w:val="18"/>
            <w:szCs w:val="18"/>
          </w:rPr>
          <w:t>https://www.ncbi.nlm.nih.gov/pmc/articles/PMC11722046/</w:t>
        </w:r>
      </w:hyperlink>
    </w:p>
    <w:p w14:paraId="61C59ADF"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A meta-analysis examined omega-3 (EPA, DPA, DHA) as a blood biomarker to screen groups at high risk of cardiovascular mortality and sudden cardiac death — useful as a rationale for using omega-3 blood index as a risk INPUT, not just a supplement output.</w:t>
      </w:r>
    </w:p>
    <w:p w14:paraId="74D35A70"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 xml:space="preserve">10. Dinu et al., Eur. J. Prev. </w:t>
      </w:r>
      <w:proofErr w:type="spellStart"/>
      <w:r w:rsidRPr="00CE2392">
        <w:rPr>
          <w:rFonts w:asciiTheme="majorHAnsi" w:hAnsiTheme="majorHAnsi" w:cstheme="majorHAnsi"/>
          <w:b/>
          <w:bCs/>
        </w:rPr>
        <w:t>Cardiol</w:t>
      </w:r>
      <w:proofErr w:type="spellEnd"/>
      <w:r w:rsidRPr="00CE2392">
        <w:rPr>
          <w:rFonts w:asciiTheme="majorHAnsi" w:hAnsiTheme="majorHAnsi" w:cstheme="majorHAnsi"/>
          <w:b/>
          <w:bCs/>
        </w:rPr>
        <w:t>. (Oct 2024)</w:t>
      </w:r>
    </w:p>
    <w:p w14:paraId="6B417D6F" w14:textId="77777777" w:rsidR="00CE2392" w:rsidRPr="00CE2392" w:rsidRDefault="00CE2392" w:rsidP="00CE2392">
      <w:pPr>
        <w:spacing w:after="40"/>
        <w:ind w:left="288"/>
        <w:rPr>
          <w:rFonts w:asciiTheme="majorHAnsi" w:hAnsiTheme="majorHAnsi" w:cstheme="majorHAnsi"/>
        </w:rPr>
      </w:pPr>
      <w:hyperlink r:id="rId54" w:history="1">
        <w:r w:rsidRPr="00CE2392">
          <w:rPr>
            <w:rStyle w:val="Hyperlink"/>
            <w:rFonts w:asciiTheme="majorHAnsi" w:hAnsiTheme="majorHAnsi" w:cstheme="majorHAnsi"/>
            <w:sz w:val="18"/>
            <w:szCs w:val="18"/>
          </w:rPr>
          <w:t>https://academic.oup.com/eurjpc/article/31/15/1863/7692830</w:t>
        </w:r>
      </w:hyperlink>
    </w:p>
    <w:p w14:paraId="4A760A2D"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Benefits of omega-3 on coronary revascularization and the specific role of EPA remain debated/controversial — include as the counterweight showing the cardiovascular case is not settled.</w:t>
      </w:r>
    </w:p>
    <w:p w14:paraId="2D714E1E"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11. Scientific Reports (Oct 2025, NHANES)</w:t>
      </w:r>
    </w:p>
    <w:p w14:paraId="6ECEB2B5" w14:textId="77777777" w:rsidR="00CE2392" w:rsidRPr="00CE2392" w:rsidRDefault="00CE2392" w:rsidP="00CE2392">
      <w:pPr>
        <w:spacing w:after="40"/>
        <w:ind w:left="288"/>
        <w:rPr>
          <w:rFonts w:asciiTheme="majorHAnsi" w:hAnsiTheme="majorHAnsi" w:cstheme="majorHAnsi"/>
        </w:rPr>
      </w:pPr>
      <w:hyperlink r:id="rId55" w:history="1">
        <w:r w:rsidRPr="00CE2392">
          <w:rPr>
            <w:rStyle w:val="Hyperlink"/>
            <w:rFonts w:asciiTheme="majorHAnsi" w:hAnsiTheme="majorHAnsi" w:cstheme="majorHAnsi"/>
            <w:sz w:val="18"/>
            <w:szCs w:val="18"/>
          </w:rPr>
          <w:t>https://www.nature.com/articles/s41598-025-21193-1</w:t>
        </w:r>
      </w:hyperlink>
    </w:p>
    <w:p w14:paraId="0AAAB37B" w14:textId="77777777" w:rsidR="00CE2392" w:rsidRPr="00CE2392" w:rsidRDefault="00CE2392" w:rsidP="00CE2392">
      <w:pPr>
        <w:spacing w:after="40"/>
        <w:ind w:left="288"/>
        <w:rPr>
          <w:rFonts w:asciiTheme="majorHAnsi" w:hAnsiTheme="majorHAnsi" w:cstheme="majorHAnsi"/>
        </w:rPr>
      </w:pPr>
      <w:r w:rsidRPr="00CE2392">
        <w:rPr>
          <w:rFonts w:asciiTheme="majorHAnsi" w:hAnsiTheme="majorHAnsi" w:cstheme="majorHAnsi"/>
        </w:rPr>
        <w:t>Among people with existing cardiovascular disease, dietary omega-3 intake was examined against all-cause and CVD mortality — supports a “if you already have CVD, raise omega-3 intake” recommendation.</w:t>
      </w:r>
    </w:p>
    <w:p w14:paraId="51B4348C"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i/>
          <w:iCs/>
          <w:color w:val="9E4A06"/>
          <w:sz w:val="20"/>
          <w:szCs w:val="20"/>
        </w:rPr>
        <w:t>Note: Observational.</w:t>
      </w:r>
    </w:p>
    <w:p w14:paraId="0950C7EA" w14:textId="77777777" w:rsidR="00CE2392" w:rsidRPr="00CE2392" w:rsidRDefault="00CE2392" w:rsidP="00CE2392">
      <w:pPr>
        <w:pStyle w:val="Heading2"/>
        <w:rPr>
          <w:rFonts w:cstheme="majorHAnsi"/>
        </w:rPr>
      </w:pPr>
      <w:r w:rsidRPr="00CE2392">
        <w:rPr>
          <w:rFonts w:cstheme="majorHAnsi"/>
        </w:rPr>
        <w:t>Magnesium</w:t>
      </w:r>
    </w:p>
    <w:p w14:paraId="7B120271"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 xml:space="preserve">12. Ma, Li &amp; Liu, Front. </w:t>
      </w:r>
      <w:proofErr w:type="spellStart"/>
      <w:r w:rsidRPr="00CE2392">
        <w:rPr>
          <w:rFonts w:asciiTheme="majorHAnsi" w:hAnsiTheme="majorHAnsi" w:cstheme="majorHAnsi"/>
          <w:b/>
          <w:bCs/>
        </w:rPr>
        <w:t>Nutr</w:t>
      </w:r>
      <w:proofErr w:type="spellEnd"/>
      <w:r w:rsidRPr="00CE2392">
        <w:rPr>
          <w:rFonts w:asciiTheme="majorHAnsi" w:hAnsiTheme="majorHAnsi" w:cstheme="majorHAnsi"/>
          <w:b/>
          <w:bCs/>
        </w:rPr>
        <w:t>. (Oct 2025, NHANES + hospital cohort)</w:t>
      </w:r>
    </w:p>
    <w:p w14:paraId="7CF4B038" w14:textId="77777777" w:rsidR="00CE2392" w:rsidRPr="00CE2392" w:rsidRDefault="00CE2392" w:rsidP="00CE2392">
      <w:pPr>
        <w:spacing w:after="40"/>
        <w:ind w:left="288"/>
        <w:rPr>
          <w:rFonts w:asciiTheme="majorHAnsi" w:hAnsiTheme="majorHAnsi" w:cstheme="majorHAnsi"/>
        </w:rPr>
      </w:pPr>
      <w:hyperlink r:id="rId56" w:history="1">
        <w:r w:rsidRPr="00CE2392">
          <w:rPr>
            <w:rStyle w:val="Hyperlink"/>
            <w:rFonts w:asciiTheme="majorHAnsi" w:hAnsiTheme="majorHAnsi" w:cstheme="majorHAnsi"/>
            <w:sz w:val="18"/>
            <w:szCs w:val="18"/>
          </w:rPr>
          <w:t>https://www.frontiersin.org/journals/nutrition/articles/10.3389/fnut.2025.1674062/full</w:t>
        </w:r>
      </w:hyperlink>
    </w:p>
    <w:p w14:paraId="52194842"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If you are a cancer survivor with a high Magnesium Depletion Score (≥3), your all-cause, cancer, and CVD mortality risk is significantly higher after adjustment — so flag low magnesium status for correction in this group.</w:t>
      </w:r>
    </w:p>
    <w:p w14:paraId="2EF5E5D1"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13. Lu et al., Biol. Trace Elem. Res. (2025, NHANES)</w:t>
      </w:r>
    </w:p>
    <w:p w14:paraId="2A7E5499" w14:textId="77777777" w:rsidR="00CE2392" w:rsidRPr="00CE2392" w:rsidRDefault="00CE2392" w:rsidP="00CE2392">
      <w:pPr>
        <w:spacing w:after="40"/>
        <w:ind w:left="288"/>
        <w:rPr>
          <w:rFonts w:asciiTheme="majorHAnsi" w:hAnsiTheme="majorHAnsi" w:cstheme="majorHAnsi"/>
        </w:rPr>
      </w:pPr>
      <w:hyperlink r:id="rId57" w:history="1">
        <w:r w:rsidRPr="00CE2392">
          <w:rPr>
            <w:rStyle w:val="Hyperlink"/>
            <w:rFonts w:asciiTheme="majorHAnsi" w:hAnsiTheme="majorHAnsi" w:cstheme="majorHAnsi"/>
            <w:sz w:val="18"/>
            <w:szCs w:val="18"/>
          </w:rPr>
          <w:t>https://link.springer.com/article/10.1007/s12011-024-04395-y</w:t>
        </w:r>
      </w:hyperlink>
    </w:p>
    <w:p w14:paraId="4B804AF9"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In people with gout or hyperuricemia, dietary magnesium intake was evaluated against all-cause and cause-specific mortality across ~58,000+ person-years — supports raising dietary Mg in this subgroup.</w:t>
      </w:r>
    </w:p>
    <w:p w14:paraId="13C900AF"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lastRenderedPageBreak/>
        <w:t xml:space="preserve">14. Front. </w:t>
      </w:r>
      <w:proofErr w:type="spellStart"/>
      <w:r w:rsidRPr="00CE2392">
        <w:rPr>
          <w:rFonts w:asciiTheme="majorHAnsi" w:hAnsiTheme="majorHAnsi" w:cstheme="majorHAnsi"/>
          <w:b/>
          <w:bCs/>
        </w:rPr>
        <w:t>Nutr</w:t>
      </w:r>
      <w:proofErr w:type="spellEnd"/>
      <w:r w:rsidRPr="00CE2392">
        <w:rPr>
          <w:rFonts w:asciiTheme="majorHAnsi" w:hAnsiTheme="majorHAnsi" w:cstheme="majorHAnsi"/>
          <w:b/>
          <w:bCs/>
        </w:rPr>
        <w:t>. (Oct 2024)</w:t>
      </w:r>
    </w:p>
    <w:p w14:paraId="212C0554" w14:textId="77777777" w:rsidR="00CE2392" w:rsidRPr="00CE2392" w:rsidRDefault="00CE2392" w:rsidP="00CE2392">
      <w:pPr>
        <w:spacing w:after="40"/>
        <w:ind w:left="288"/>
        <w:rPr>
          <w:rFonts w:asciiTheme="majorHAnsi" w:hAnsiTheme="majorHAnsi" w:cstheme="majorHAnsi"/>
        </w:rPr>
      </w:pPr>
      <w:hyperlink r:id="rId58" w:history="1">
        <w:r w:rsidRPr="00CE2392">
          <w:rPr>
            <w:rStyle w:val="Hyperlink"/>
            <w:rFonts w:asciiTheme="majorHAnsi" w:hAnsiTheme="majorHAnsi" w:cstheme="majorHAnsi"/>
            <w:sz w:val="18"/>
            <w:szCs w:val="18"/>
          </w:rPr>
          <w:t>https://doaj.org/article/50a0af4f9a834ea592f2eff5f5ff4786</w:t>
        </w:r>
      </w:hyperlink>
    </w:p>
    <w:p w14:paraId="30D5337F"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In people with atherosclerotic CVD, higher dietary magnesium was linearly associated with lower all-cause mortality (highest vs lowest quartile HR 0.63), and BMI modified the effect — so factor BMI alongside Mg intake.</w:t>
      </w:r>
    </w:p>
    <w:p w14:paraId="7E2549A7"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15. Atherosclerosis (2025, PLCO cohort)</w:t>
      </w:r>
    </w:p>
    <w:p w14:paraId="7787868C" w14:textId="77777777" w:rsidR="00CE2392" w:rsidRPr="00CE2392" w:rsidRDefault="00CE2392" w:rsidP="00CE2392">
      <w:pPr>
        <w:spacing w:after="40"/>
        <w:ind w:left="288"/>
        <w:rPr>
          <w:rFonts w:asciiTheme="majorHAnsi" w:hAnsiTheme="majorHAnsi" w:cstheme="majorHAnsi"/>
        </w:rPr>
      </w:pPr>
      <w:hyperlink r:id="rId59" w:history="1">
        <w:r w:rsidRPr="00CE2392">
          <w:rPr>
            <w:rStyle w:val="Hyperlink"/>
            <w:rFonts w:asciiTheme="majorHAnsi" w:hAnsiTheme="majorHAnsi" w:cstheme="majorHAnsi"/>
            <w:sz w:val="18"/>
            <w:szCs w:val="18"/>
          </w:rPr>
          <w:t>https://www.atherosclerosis-journal.com/article/S0021-9150(25)01426-1/abstract</w:t>
        </w:r>
      </w:hyperlink>
    </w:p>
    <w:p w14:paraId="2541A4DE"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A magnesium-rich diet was associated with lower cardiovascular mortality, mediated partly by oxidative-balance score — supports diet-first Mg messaging over pills.</w:t>
      </w:r>
    </w:p>
    <w:p w14:paraId="625EA3CD"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 xml:space="preserve">16. Liu et al., J. Health </w:t>
      </w:r>
      <w:proofErr w:type="spellStart"/>
      <w:r w:rsidRPr="00CE2392">
        <w:rPr>
          <w:rFonts w:asciiTheme="majorHAnsi" w:hAnsiTheme="majorHAnsi" w:cstheme="majorHAnsi"/>
          <w:b/>
          <w:bCs/>
        </w:rPr>
        <w:t>Popul</w:t>
      </w:r>
      <w:proofErr w:type="spellEnd"/>
      <w:r w:rsidRPr="00CE2392">
        <w:rPr>
          <w:rFonts w:asciiTheme="majorHAnsi" w:hAnsiTheme="majorHAnsi" w:cstheme="majorHAnsi"/>
          <w:b/>
          <w:bCs/>
        </w:rPr>
        <w:t xml:space="preserve">. </w:t>
      </w:r>
      <w:proofErr w:type="spellStart"/>
      <w:r w:rsidRPr="00CE2392">
        <w:rPr>
          <w:rFonts w:asciiTheme="majorHAnsi" w:hAnsiTheme="majorHAnsi" w:cstheme="majorHAnsi"/>
          <w:b/>
          <w:bCs/>
        </w:rPr>
        <w:t>Nutr</w:t>
      </w:r>
      <w:proofErr w:type="spellEnd"/>
      <w:r w:rsidRPr="00CE2392">
        <w:rPr>
          <w:rFonts w:asciiTheme="majorHAnsi" w:hAnsiTheme="majorHAnsi" w:cstheme="majorHAnsi"/>
          <w:b/>
          <w:bCs/>
        </w:rPr>
        <w:t>. (Aug 2024, NHANES)</w:t>
      </w:r>
    </w:p>
    <w:p w14:paraId="63BED06E" w14:textId="77777777" w:rsidR="00CE2392" w:rsidRPr="00CE2392" w:rsidRDefault="00CE2392" w:rsidP="00CE2392">
      <w:pPr>
        <w:spacing w:after="40"/>
        <w:ind w:left="288"/>
        <w:rPr>
          <w:rFonts w:asciiTheme="majorHAnsi" w:hAnsiTheme="majorHAnsi" w:cstheme="majorHAnsi"/>
        </w:rPr>
      </w:pPr>
      <w:hyperlink r:id="rId60" w:history="1">
        <w:r w:rsidRPr="00CE2392">
          <w:rPr>
            <w:rStyle w:val="Hyperlink"/>
            <w:rFonts w:asciiTheme="majorHAnsi" w:hAnsiTheme="majorHAnsi" w:cstheme="majorHAnsi"/>
            <w:sz w:val="18"/>
            <w:szCs w:val="18"/>
          </w:rPr>
          <w:t>https://doaj.org/article/c619109c820f46c5b4c369177e8f5572</w:t>
        </w:r>
      </w:hyperlink>
    </w:p>
    <w:p w14:paraId="2A4EE773"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In rheumatoid arthritis patients, dietary magnesium intake was assessed against all-cause mortality as an anti-inflammatory nutrient — supports Mg adequacy in chronic-inflammatory subgroups.</w:t>
      </w:r>
    </w:p>
    <w:p w14:paraId="3011F84D" w14:textId="77777777" w:rsidR="00CE2392" w:rsidRPr="00CE2392" w:rsidRDefault="00CE2392" w:rsidP="00CE2392">
      <w:pPr>
        <w:pStyle w:val="Heading2"/>
        <w:rPr>
          <w:rFonts w:cstheme="majorHAnsi"/>
        </w:rPr>
      </w:pPr>
      <w:r w:rsidRPr="00CE2392">
        <w:rPr>
          <w:rFonts w:cstheme="majorHAnsi"/>
        </w:rPr>
        <w:t>Vitamin B12 (strongly age-dependent)</w:t>
      </w:r>
    </w:p>
    <w:p w14:paraId="3C6F6D6D"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17. Marino et al., Alzheimer’s &amp; Dementia (2025, Framingham, n=1,994, mean age 60)</w:t>
      </w:r>
    </w:p>
    <w:p w14:paraId="19C5C511" w14:textId="77777777" w:rsidR="00CE2392" w:rsidRPr="00CE2392" w:rsidRDefault="00CE2392" w:rsidP="00CE2392">
      <w:pPr>
        <w:spacing w:after="40"/>
        <w:ind w:left="288"/>
        <w:rPr>
          <w:rFonts w:asciiTheme="majorHAnsi" w:hAnsiTheme="majorHAnsi" w:cstheme="majorHAnsi"/>
        </w:rPr>
      </w:pPr>
      <w:hyperlink r:id="rId61" w:history="1">
        <w:r w:rsidRPr="00CE2392">
          <w:rPr>
            <w:rStyle w:val="Hyperlink"/>
            <w:rFonts w:asciiTheme="majorHAnsi" w:hAnsiTheme="majorHAnsi" w:cstheme="majorHAnsi"/>
            <w:sz w:val="18"/>
            <w:szCs w:val="18"/>
          </w:rPr>
          <w:t>https://alz-journals.onlinelibrary.wiley.com/doi/10.1002/alz.70864</w:t>
        </w:r>
      </w:hyperlink>
    </w:p>
    <w:p w14:paraId="5325E82E"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Higher vitamin B12 from mid- to late life was related to slower rates of cognitive decline — supports maintaining higher-end B12 from midlife onward.</w:t>
      </w:r>
    </w:p>
    <w:p w14:paraId="7048FFBB"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18. reporting UCSF, Annals of Neurology (2025, DOI 10.1002/ana.27200)</w:t>
      </w:r>
    </w:p>
    <w:p w14:paraId="3B878CAA" w14:textId="77777777" w:rsidR="00CE2392" w:rsidRPr="00CE2392" w:rsidRDefault="00CE2392" w:rsidP="00CE2392">
      <w:pPr>
        <w:spacing w:after="40"/>
        <w:ind w:left="288"/>
        <w:rPr>
          <w:rFonts w:asciiTheme="majorHAnsi" w:hAnsiTheme="majorHAnsi" w:cstheme="majorHAnsi"/>
        </w:rPr>
      </w:pPr>
      <w:hyperlink r:id="rId62" w:history="1">
        <w:r w:rsidRPr="00CE2392">
          <w:rPr>
            <w:rStyle w:val="Hyperlink"/>
            <w:rFonts w:asciiTheme="majorHAnsi" w:hAnsiTheme="majorHAnsi" w:cstheme="majorHAnsi"/>
            <w:sz w:val="18"/>
            <w:szCs w:val="18"/>
          </w:rPr>
          <w:t>https://www.sciencedaily.com/releases/2025/02/250218203749.htm</w:t>
        </w:r>
      </w:hyperlink>
    </w:p>
    <w:p w14:paraId="5A2C269B"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Older healthy adults with lower-but-still</w:t>
      </w:r>
      <w:proofErr w:type="gramStart"/>
      <w:r w:rsidRPr="00CE2392">
        <w:rPr>
          <w:rFonts w:asciiTheme="majorHAnsi" w:hAnsiTheme="majorHAnsi" w:cstheme="majorHAnsi"/>
        </w:rPr>
        <w:t>-“</w:t>
      </w:r>
      <w:proofErr w:type="gramEnd"/>
      <w:r w:rsidRPr="00CE2392">
        <w:rPr>
          <w:rFonts w:asciiTheme="majorHAnsi" w:hAnsiTheme="majorHAnsi" w:cstheme="majorHAnsi"/>
        </w:rPr>
        <w:t>normal” B12 showed more white-matter damage and slower processing speed — implying current “normal” thresholds may be too low for older adults; a strong age-based recommendation input.</w:t>
      </w:r>
    </w:p>
    <w:p w14:paraId="6AD1E1C5"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19. Comprehensive review (Apr 2025)</w:t>
      </w:r>
    </w:p>
    <w:p w14:paraId="10CF3E20" w14:textId="77777777" w:rsidR="00CE2392" w:rsidRPr="00CE2392" w:rsidRDefault="00CE2392" w:rsidP="00CE2392">
      <w:pPr>
        <w:spacing w:after="40"/>
        <w:ind w:left="288"/>
        <w:rPr>
          <w:rFonts w:asciiTheme="majorHAnsi" w:hAnsiTheme="majorHAnsi" w:cstheme="majorHAnsi"/>
        </w:rPr>
      </w:pPr>
      <w:hyperlink r:id="rId63" w:history="1">
        <w:r w:rsidRPr="00CE2392">
          <w:rPr>
            <w:rStyle w:val="Hyperlink"/>
            <w:rFonts w:asciiTheme="majorHAnsi" w:hAnsiTheme="majorHAnsi" w:cstheme="majorHAnsi"/>
            <w:sz w:val="18"/>
            <w:szCs w:val="18"/>
          </w:rPr>
          <w:t>https://www.sciencedirect.com/science/article/pii/S266645932500040X</w:t>
        </w:r>
      </w:hyperlink>
    </w:p>
    <w:p w14:paraId="798F1954"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10–15% of people over 60 have B12 deficiency, largely from age-related gastric atrophy reducing absorption — so age &gt;60 itself is a trigger to check/supplement B12.</w:t>
      </w:r>
    </w:p>
    <w:p w14:paraId="01CBA534"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20. Chua et al. (2025)</w:t>
      </w:r>
    </w:p>
    <w:p w14:paraId="7C8D6EC3" w14:textId="77777777" w:rsidR="00CE2392" w:rsidRPr="00CE2392" w:rsidRDefault="00CE2392" w:rsidP="00CE2392">
      <w:pPr>
        <w:spacing w:after="40"/>
        <w:ind w:left="288"/>
        <w:rPr>
          <w:rFonts w:asciiTheme="majorHAnsi" w:hAnsiTheme="majorHAnsi" w:cstheme="majorHAnsi"/>
        </w:rPr>
      </w:pPr>
      <w:hyperlink r:id="rId64" w:history="1">
        <w:r w:rsidRPr="00CE2392">
          <w:rPr>
            <w:rStyle w:val="Hyperlink"/>
            <w:rFonts w:asciiTheme="majorHAnsi" w:hAnsiTheme="majorHAnsi" w:cstheme="majorHAnsi"/>
            <w:sz w:val="18"/>
            <w:szCs w:val="18"/>
          </w:rPr>
          <w:t>https://www.ncbi.nlm.nih.gov/pmc/articles/PMC12789806/</w:t>
        </w:r>
      </w:hyperlink>
    </w:p>
    <w:p w14:paraId="58DF3BDB"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If you are 65+ with diabetes on metformin, you are at high risk of B12 deficiency from reduced gut absorption and should be screened — a clean gene-free “if on metformin + older, supplement B12” rule.</w:t>
      </w:r>
    </w:p>
    <w:p w14:paraId="07082BA3"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21. Shanghai Aging survey (2025, n=8,806, age ≥65)</w:t>
      </w:r>
    </w:p>
    <w:p w14:paraId="5F7EAEFB" w14:textId="77777777" w:rsidR="00CE2392" w:rsidRPr="00CE2392" w:rsidRDefault="00CE2392" w:rsidP="00CE2392">
      <w:pPr>
        <w:spacing w:after="40"/>
        <w:ind w:left="288"/>
        <w:rPr>
          <w:rFonts w:asciiTheme="majorHAnsi" w:hAnsiTheme="majorHAnsi" w:cstheme="majorHAnsi"/>
        </w:rPr>
      </w:pPr>
      <w:hyperlink r:id="rId65" w:history="1">
        <w:r w:rsidRPr="00CE2392">
          <w:rPr>
            <w:rStyle w:val="Hyperlink"/>
            <w:rFonts w:asciiTheme="majorHAnsi" w:hAnsiTheme="majorHAnsi" w:cstheme="majorHAnsi"/>
            <w:sz w:val="18"/>
            <w:szCs w:val="18"/>
          </w:rPr>
          <w:t>https://www.ncbi.nlm.nih.gov/pmc/articles/PMC12757219/</w:t>
        </w:r>
      </w:hyperlink>
    </w:p>
    <w:p w14:paraId="1A0BB7D1"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lastRenderedPageBreak/>
        <w:t>B-complex vitamin intake and sleep quality showed an additive interaction with cognitive impairment in older adults — supports combining B-vitamin adequacy with sleep in your model.</w:t>
      </w:r>
    </w:p>
    <w:p w14:paraId="4E977E3A"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22. Rosenberg (2024)</w:t>
      </w:r>
    </w:p>
    <w:p w14:paraId="24D264D8" w14:textId="77777777" w:rsidR="00CE2392" w:rsidRPr="00CE2392" w:rsidRDefault="00CE2392" w:rsidP="00CE2392">
      <w:pPr>
        <w:spacing w:after="40"/>
        <w:ind w:left="288"/>
        <w:rPr>
          <w:rFonts w:asciiTheme="majorHAnsi" w:hAnsiTheme="majorHAnsi" w:cstheme="majorHAnsi"/>
        </w:rPr>
      </w:pPr>
      <w:hyperlink r:id="rId66" w:history="1">
        <w:r w:rsidRPr="00CE2392">
          <w:rPr>
            <w:rStyle w:val="Hyperlink"/>
            <w:rFonts w:asciiTheme="majorHAnsi" w:hAnsiTheme="majorHAnsi" w:cstheme="majorHAnsi"/>
            <w:sz w:val="18"/>
            <w:szCs w:val="18"/>
          </w:rPr>
          <w:t>https://journals.sagepub.com/doi/10.1177/03795721241228060</w:t>
        </w:r>
      </w:hyperlink>
    </w:p>
    <w:p w14:paraId="367369EB"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B12 deficiency in elders contributes to cognitive decline via cerebrovascular and direct neuronal damage, and treating it addresses a potentially reversible factor — mechanistic support for B12 correction in older adults.</w:t>
      </w:r>
    </w:p>
    <w:p w14:paraId="04B31FBC" w14:textId="77777777" w:rsidR="00CE2392" w:rsidRPr="00CE2392" w:rsidRDefault="00CE2392" w:rsidP="00CE2392">
      <w:pPr>
        <w:pStyle w:val="Heading2"/>
        <w:rPr>
          <w:rFonts w:cstheme="majorHAnsi"/>
        </w:rPr>
      </w:pPr>
      <w:r w:rsidRPr="00CE2392">
        <w:rPr>
          <w:rFonts w:cstheme="majorHAnsi"/>
        </w:rPr>
        <w:t>Selenium</w:t>
      </w:r>
    </w:p>
    <w:p w14:paraId="66D52E16"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23. Cui et al., Redox Biology (Jul 2025)</w:t>
      </w:r>
    </w:p>
    <w:p w14:paraId="1B55E413" w14:textId="77777777" w:rsidR="00CE2392" w:rsidRPr="00CE2392" w:rsidRDefault="00CE2392" w:rsidP="00CE2392">
      <w:pPr>
        <w:spacing w:after="40"/>
        <w:ind w:left="288"/>
        <w:rPr>
          <w:rFonts w:asciiTheme="majorHAnsi" w:hAnsiTheme="majorHAnsi" w:cstheme="majorHAnsi"/>
        </w:rPr>
      </w:pPr>
      <w:hyperlink r:id="rId67" w:history="1">
        <w:r w:rsidRPr="00CE2392">
          <w:rPr>
            <w:rStyle w:val="Hyperlink"/>
            <w:rFonts w:asciiTheme="majorHAnsi" w:hAnsiTheme="majorHAnsi" w:cstheme="majorHAnsi"/>
            <w:sz w:val="18"/>
            <w:szCs w:val="18"/>
          </w:rPr>
          <w:t>https://pmc.ncbi.nlm.nih.gov/articles/PMC12302194</w:t>
        </w:r>
      </w:hyperlink>
    </w:p>
    <w:p w14:paraId="491B7DD3"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A systematic review/meta-analysis assessed circulating selenium status against all-cause, CVD, and cancer mortality in population cohorts — the best recent umbrella source; relevant especially where soil/dietary selenium is low (much of Europe).</w:t>
      </w:r>
    </w:p>
    <w:p w14:paraId="3EB6E816"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 xml:space="preserve">24. </w:t>
      </w:r>
      <w:proofErr w:type="spellStart"/>
      <w:r w:rsidRPr="00CE2392">
        <w:rPr>
          <w:rFonts w:asciiTheme="majorHAnsi" w:hAnsiTheme="majorHAnsi" w:cstheme="majorHAnsi"/>
          <w:b/>
          <w:bCs/>
        </w:rPr>
        <w:t>Schöttker</w:t>
      </w:r>
      <w:proofErr w:type="spellEnd"/>
      <w:r w:rsidRPr="00CE2392">
        <w:rPr>
          <w:rFonts w:asciiTheme="majorHAnsi" w:hAnsiTheme="majorHAnsi" w:cstheme="majorHAnsi"/>
          <w:b/>
          <w:bCs/>
        </w:rPr>
        <w:t xml:space="preserve"> et al., Eur. J. Epidemiol. (Jan 2024, ESTHER, n=7,186, age 50–74)</w:t>
      </w:r>
    </w:p>
    <w:p w14:paraId="09F26511" w14:textId="77777777" w:rsidR="00CE2392" w:rsidRPr="00CE2392" w:rsidRDefault="00CE2392" w:rsidP="00CE2392">
      <w:pPr>
        <w:spacing w:after="40"/>
        <w:ind w:left="288"/>
        <w:rPr>
          <w:rFonts w:asciiTheme="majorHAnsi" w:hAnsiTheme="majorHAnsi" w:cstheme="majorHAnsi"/>
        </w:rPr>
      </w:pPr>
      <w:hyperlink r:id="rId68" w:history="1">
        <w:r w:rsidRPr="00CE2392">
          <w:rPr>
            <w:rStyle w:val="Hyperlink"/>
            <w:rFonts w:asciiTheme="majorHAnsi" w:hAnsiTheme="majorHAnsi" w:cstheme="majorHAnsi"/>
            <w:sz w:val="18"/>
            <w:szCs w:val="18"/>
          </w:rPr>
          <w:t>https://link.springer.com/article/10.1007/s10654-023-01091-4</w:t>
        </w:r>
      </w:hyperlink>
    </w:p>
    <w:p w14:paraId="331C052F" w14:textId="77777777" w:rsidR="00CE2392" w:rsidRPr="00CE2392" w:rsidRDefault="00CE2392" w:rsidP="00CE2392">
      <w:pPr>
        <w:spacing w:after="40"/>
        <w:ind w:left="288"/>
        <w:rPr>
          <w:rFonts w:asciiTheme="majorHAnsi" w:hAnsiTheme="majorHAnsi" w:cstheme="majorHAnsi"/>
        </w:rPr>
      </w:pPr>
      <w:r w:rsidRPr="00CE2392">
        <w:rPr>
          <w:rFonts w:asciiTheme="majorHAnsi" w:hAnsiTheme="majorHAnsi" w:cstheme="majorHAnsi"/>
        </w:rPr>
        <w:t xml:space="preserve">If your serum SELENOP is below ~4.1 mg/L, your all-cause mortality risk is significantly higher (L-shaped </w:t>
      </w:r>
      <w:proofErr w:type="gramStart"/>
      <w:r w:rsidRPr="00CE2392">
        <w:rPr>
          <w:rFonts w:asciiTheme="majorHAnsi" w:hAnsiTheme="majorHAnsi" w:cstheme="majorHAnsi"/>
        </w:rPr>
        <w:t>relationship) —</w:t>
      </w:r>
      <w:proofErr w:type="gramEnd"/>
      <w:r w:rsidRPr="00CE2392">
        <w:rPr>
          <w:rFonts w:asciiTheme="majorHAnsi" w:hAnsiTheme="majorHAnsi" w:cstheme="majorHAnsi"/>
        </w:rPr>
        <w:t xml:space="preserve"> so low selenium status is a correction target.</w:t>
      </w:r>
    </w:p>
    <w:p w14:paraId="54FFA4E7"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25. Berlin Aging Study II, Clinical Epigenetics (Apr 2025)</w:t>
      </w:r>
    </w:p>
    <w:p w14:paraId="6E662109" w14:textId="77777777" w:rsidR="00CE2392" w:rsidRPr="00CE2392" w:rsidRDefault="00CE2392" w:rsidP="00CE2392">
      <w:pPr>
        <w:spacing w:after="40"/>
        <w:ind w:left="288"/>
        <w:rPr>
          <w:rFonts w:asciiTheme="majorHAnsi" w:hAnsiTheme="majorHAnsi" w:cstheme="majorHAnsi"/>
        </w:rPr>
      </w:pPr>
      <w:hyperlink r:id="rId69" w:history="1">
        <w:r w:rsidRPr="00CE2392">
          <w:rPr>
            <w:rStyle w:val="Hyperlink"/>
            <w:rFonts w:asciiTheme="majorHAnsi" w:hAnsiTheme="majorHAnsi" w:cstheme="majorHAnsi"/>
            <w:sz w:val="18"/>
            <w:szCs w:val="18"/>
          </w:rPr>
          <w:t>https://link.springer.com/article/10.1186/s13148-025-01863-7</w:t>
        </w:r>
      </w:hyperlink>
    </w:p>
    <w:p w14:paraId="5F0E3E6B"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Low selenium, SELENOP, and GPx3 were associated with accelerated biological (DNA-methylation) aging — directly relevant to a longevity/biological-age engine.</w:t>
      </w:r>
    </w:p>
    <w:p w14:paraId="407D7B4B"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26. Front. Neurol. (Jul 2024, NHANES)</w:t>
      </w:r>
    </w:p>
    <w:p w14:paraId="28EFBFB8" w14:textId="77777777" w:rsidR="00CE2392" w:rsidRPr="00CE2392" w:rsidRDefault="00CE2392" w:rsidP="00CE2392">
      <w:pPr>
        <w:spacing w:after="40"/>
        <w:ind w:left="288"/>
        <w:rPr>
          <w:rFonts w:asciiTheme="majorHAnsi" w:hAnsiTheme="majorHAnsi" w:cstheme="majorHAnsi"/>
        </w:rPr>
      </w:pPr>
      <w:hyperlink r:id="rId70" w:history="1">
        <w:r w:rsidRPr="00CE2392">
          <w:rPr>
            <w:rStyle w:val="Hyperlink"/>
            <w:rFonts w:asciiTheme="majorHAnsi" w:hAnsiTheme="majorHAnsi" w:cstheme="majorHAnsi"/>
            <w:sz w:val="18"/>
            <w:szCs w:val="18"/>
          </w:rPr>
          <w:t>https://doaj.org/article/c1580ba678eb4fe0bba89a78c8d7bd48</w:t>
        </w:r>
      </w:hyperlink>
    </w:p>
    <w:p w14:paraId="109AB6A9"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 xml:space="preserve">Blood selenium ≥192.96 µg/L was associated with lower all-cause mortality (HR 0.70), with the worst outcomes in those with low selenium plus stroke history (HR </w:t>
      </w:r>
      <w:proofErr w:type="gramStart"/>
      <w:r w:rsidRPr="00CE2392">
        <w:rPr>
          <w:rFonts w:asciiTheme="majorHAnsi" w:hAnsiTheme="majorHAnsi" w:cstheme="majorHAnsi"/>
        </w:rPr>
        <w:t>2.31) —</w:t>
      </w:r>
      <w:proofErr w:type="gramEnd"/>
      <w:r w:rsidRPr="00CE2392">
        <w:rPr>
          <w:rFonts w:asciiTheme="majorHAnsi" w:hAnsiTheme="majorHAnsi" w:cstheme="majorHAnsi"/>
        </w:rPr>
        <w:t xml:space="preserve"> supports selenium adequacy especially in stroke survivors.</w:t>
      </w:r>
    </w:p>
    <w:p w14:paraId="1A5E2972" w14:textId="77777777" w:rsidR="00CE2392" w:rsidRPr="00CE2392" w:rsidRDefault="00CE2392" w:rsidP="00CE2392">
      <w:pPr>
        <w:pStyle w:val="Heading2"/>
        <w:rPr>
          <w:rFonts w:cstheme="majorHAnsi"/>
        </w:rPr>
      </w:pPr>
      <w:r w:rsidRPr="00CE2392">
        <w:rPr>
          <w:rFonts w:cstheme="majorHAnsi"/>
        </w:rPr>
        <w:t>Multivitamins (cautionary — a “shouldn’t bother” finding)</w:t>
      </w:r>
    </w:p>
    <w:p w14:paraId="2968A8CC"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 xml:space="preserve">27. </w:t>
      </w:r>
      <w:proofErr w:type="spellStart"/>
      <w:r w:rsidRPr="00CE2392">
        <w:rPr>
          <w:rFonts w:asciiTheme="majorHAnsi" w:hAnsiTheme="majorHAnsi" w:cstheme="majorHAnsi"/>
          <w:b/>
          <w:bCs/>
        </w:rPr>
        <w:t>Loftfield</w:t>
      </w:r>
      <w:proofErr w:type="spellEnd"/>
      <w:r w:rsidRPr="00CE2392">
        <w:rPr>
          <w:rFonts w:asciiTheme="majorHAnsi" w:hAnsiTheme="majorHAnsi" w:cstheme="majorHAnsi"/>
          <w:b/>
          <w:bCs/>
        </w:rPr>
        <w:t xml:space="preserve"> et al., JAMA Network Open (Jun 2024, NIH/NCI, n=390,124, up to 27 yrs)</w:t>
      </w:r>
    </w:p>
    <w:p w14:paraId="2F205E4C" w14:textId="77777777" w:rsidR="00CE2392" w:rsidRPr="00CE2392" w:rsidRDefault="00CE2392" w:rsidP="00CE2392">
      <w:pPr>
        <w:spacing w:after="40"/>
        <w:ind w:left="288"/>
        <w:rPr>
          <w:rFonts w:asciiTheme="majorHAnsi" w:hAnsiTheme="majorHAnsi" w:cstheme="majorHAnsi"/>
        </w:rPr>
      </w:pPr>
      <w:hyperlink r:id="rId71" w:history="1">
        <w:r w:rsidRPr="00CE2392">
          <w:rPr>
            <w:rStyle w:val="Hyperlink"/>
            <w:rFonts w:asciiTheme="majorHAnsi" w:hAnsiTheme="majorHAnsi" w:cstheme="majorHAnsi"/>
            <w:sz w:val="18"/>
            <w:szCs w:val="18"/>
          </w:rPr>
          <w:t>https://jamanetwork.com/journals/jamanetworkopen/fullarticle/2820369</w:t>
        </w:r>
      </w:hyperlink>
    </w:p>
    <w:p w14:paraId="07CE4854"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In healthy adults, daily multivitamin use was NOT associated with lower all-cause, cancer, heart-disease, or cerebrovascular mortality — so your product should NOT recommend a blanket daily multivitamin to healthy users; target specific deficiencies instead.</w:t>
      </w:r>
    </w:p>
    <w:p w14:paraId="0FB97345" w14:textId="77777777" w:rsidR="00CE2392" w:rsidRPr="00CE2392" w:rsidRDefault="00CE2392" w:rsidP="00CE2392">
      <w:pPr>
        <w:pStyle w:val="Heading2"/>
        <w:rPr>
          <w:rFonts w:cstheme="majorHAnsi"/>
        </w:rPr>
      </w:pPr>
      <w:r w:rsidRPr="00CE2392">
        <w:rPr>
          <w:rFonts w:cstheme="majorHAnsi"/>
        </w:rPr>
        <w:t>Vitamin K2</w:t>
      </w:r>
    </w:p>
    <w:p w14:paraId="5887CCBF"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28. Nutrients (Feb 2025, RCT post hoc, n=165)</w:t>
      </w:r>
    </w:p>
    <w:p w14:paraId="6CC69B71" w14:textId="77777777" w:rsidR="00CE2392" w:rsidRPr="00CE2392" w:rsidRDefault="00CE2392" w:rsidP="00CE2392">
      <w:pPr>
        <w:spacing w:after="40"/>
        <w:ind w:left="288"/>
        <w:rPr>
          <w:rFonts w:asciiTheme="majorHAnsi" w:hAnsiTheme="majorHAnsi" w:cstheme="majorHAnsi"/>
        </w:rPr>
      </w:pPr>
      <w:hyperlink r:id="rId72" w:history="1">
        <w:r w:rsidRPr="00CE2392">
          <w:rPr>
            <w:rStyle w:val="Hyperlink"/>
            <w:rFonts w:asciiTheme="majorHAnsi" w:hAnsiTheme="majorHAnsi" w:cstheme="majorHAnsi"/>
            <w:sz w:val="18"/>
            <w:szCs w:val="18"/>
          </w:rPr>
          <w:t>https://www.mdpi.com/2072-6643/17/5/815</w:t>
        </w:r>
      </w:hyperlink>
    </w:p>
    <w:p w14:paraId="1A463903"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lastRenderedPageBreak/>
        <w:t>If you are a peri-/post-menopausal woman with low vitamin K status, low K status raises vascular calcification/stiffness risk, and 180 µg/day MK-7 for one year was tested on vascular parameters — supports MK-7 specifically in low-K, higher-CV-risk women.</w:t>
      </w:r>
    </w:p>
    <w:p w14:paraId="1305DE6A" w14:textId="77777777" w:rsidR="00CE2392" w:rsidRPr="00CE2392" w:rsidRDefault="00CE2392" w:rsidP="00CE2392">
      <w:pPr>
        <w:spacing w:before="120" w:after="40"/>
        <w:rPr>
          <w:rFonts w:asciiTheme="majorHAnsi" w:hAnsiTheme="majorHAnsi" w:cstheme="majorHAnsi"/>
        </w:rPr>
      </w:pPr>
      <w:r w:rsidRPr="00CE2392">
        <w:rPr>
          <w:rFonts w:asciiTheme="majorHAnsi" w:hAnsiTheme="majorHAnsi" w:cstheme="majorHAnsi"/>
          <w:b/>
          <w:bCs/>
        </w:rPr>
        <w:t>29. Vossen et al. (linked MK-7 / coronary calcification trials, incl. JAMA Cardiology 2026)</w:t>
      </w:r>
    </w:p>
    <w:p w14:paraId="6332566E" w14:textId="77777777" w:rsidR="00CE2392" w:rsidRPr="00CE2392" w:rsidRDefault="00CE2392" w:rsidP="00CE2392">
      <w:pPr>
        <w:spacing w:after="40"/>
        <w:ind w:left="288"/>
        <w:rPr>
          <w:rFonts w:asciiTheme="majorHAnsi" w:hAnsiTheme="majorHAnsi" w:cstheme="majorHAnsi"/>
        </w:rPr>
      </w:pPr>
      <w:hyperlink r:id="rId73" w:history="1">
        <w:r w:rsidRPr="00CE2392">
          <w:rPr>
            <w:rStyle w:val="Hyperlink"/>
            <w:rFonts w:asciiTheme="majorHAnsi" w:hAnsiTheme="majorHAnsi" w:cstheme="majorHAnsi"/>
            <w:sz w:val="18"/>
            <w:szCs w:val="18"/>
          </w:rPr>
          <w:t>https://www.jacc.org/doi/10.1016/j.jacadv.2023.100643</w:t>
        </w:r>
      </w:hyperlink>
    </w:p>
    <w:p w14:paraId="1D2AB692" w14:textId="77777777" w:rsidR="00CE2392" w:rsidRPr="00CE2392" w:rsidRDefault="00CE2392" w:rsidP="00CE2392">
      <w:pPr>
        <w:spacing w:after="120"/>
        <w:ind w:left="288"/>
        <w:rPr>
          <w:rFonts w:asciiTheme="majorHAnsi" w:hAnsiTheme="majorHAnsi" w:cstheme="majorHAnsi"/>
        </w:rPr>
      </w:pPr>
      <w:r w:rsidRPr="00CE2392">
        <w:rPr>
          <w:rFonts w:asciiTheme="majorHAnsi" w:hAnsiTheme="majorHAnsi" w:cstheme="majorHAnsi"/>
        </w:rPr>
        <w:t>Coronary artery calcification extent and progression strongly predict MI and mortality, and MK-7 supplementation has been trialed to slow it — use the 2026 JAMA Cardiology result as your primary K2 endpoint once you pull it.</w:t>
      </w:r>
    </w:p>
    <w:p w14:paraId="1FE27CA9" w14:textId="26EB57F6" w:rsidR="004254F2" w:rsidRPr="00CE2392" w:rsidRDefault="004254F2" w:rsidP="00CE2392">
      <w:pPr>
        <w:rPr>
          <w:rFonts w:asciiTheme="majorHAnsi" w:hAnsiTheme="majorHAnsi" w:cstheme="majorHAnsi"/>
        </w:rPr>
      </w:pPr>
    </w:p>
    <w:sectPr w:rsidR="004254F2" w:rsidRPr="00CE23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967CD5"/>
    <w:multiLevelType w:val="hybridMultilevel"/>
    <w:tmpl w:val="B68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044239">
    <w:abstractNumId w:val="8"/>
  </w:num>
  <w:num w:numId="2" w16cid:durableId="1211770682">
    <w:abstractNumId w:val="6"/>
  </w:num>
  <w:num w:numId="3" w16cid:durableId="437481253">
    <w:abstractNumId w:val="5"/>
  </w:num>
  <w:num w:numId="4" w16cid:durableId="1882017364">
    <w:abstractNumId w:val="4"/>
  </w:num>
  <w:num w:numId="5" w16cid:durableId="1782071862">
    <w:abstractNumId w:val="7"/>
  </w:num>
  <w:num w:numId="6" w16cid:durableId="745538955">
    <w:abstractNumId w:val="3"/>
  </w:num>
  <w:num w:numId="7" w16cid:durableId="1352337100">
    <w:abstractNumId w:val="2"/>
  </w:num>
  <w:num w:numId="8" w16cid:durableId="2068452106">
    <w:abstractNumId w:val="1"/>
  </w:num>
  <w:num w:numId="9" w16cid:durableId="1708869031">
    <w:abstractNumId w:val="0"/>
  </w:num>
  <w:num w:numId="10" w16cid:durableId="395051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A94"/>
    <w:rsid w:val="0015074B"/>
    <w:rsid w:val="001D6334"/>
    <w:rsid w:val="0029639D"/>
    <w:rsid w:val="002B21F8"/>
    <w:rsid w:val="002D6747"/>
    <w:rsid w:val="00326F90"/>
    <w:rsid w:val="004254F2"/>
    <w:rsid w:val="006108CC"/>
    <w:rsid w:val="006D54B3"/>
    <w:rsid w:val="00721130"/>
    <w:rsid w:val="00AA1D8D"/>
    <w:rsid w:val="00B47730"/>
    <w:rsid w:val="00C401EF"/>
    <w:rsid w:val="00CB0664"/>
    <w:rsid w:val="00CE2392"/>
    <w:rsid w:val="00EE29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A725C"/>
  <w14:defaultImageDpi w14:val="300"/>
  <w15:docId w15:val="{95047908-A191-495B-82BC-18A9F7AA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1130"/>
    <w:rPr>
      <w:color w:val="0000FF" w:themeColor="hyperlink"/>
      <w:u w:val="single"/>
    </w:rPr>
  </w:style>
  <w:style w:type="character" w:styleId="UnresolvedMention">
    <w:name w:val="Unresolved Mention"/>
    <w:basedOn w:val="DefaultParagraphFont"/>
    <w:uiPriority w:val="99"/>
    <w:semiHidden/>
    <w:unhideWhenUsed/>
    <w:rsid w:val="00721130"/>
    <w:rPr>
      <w:color w:val="605E5C"/>
      <w:shd w:val="clear" w:color="auto" w:fill="E1DFDD"/>
    </w:rPr>
  </w:style>
  <w:style w:type="paragraph" w:styleId="NormalWeb">
    <w:name w:val="Normal (Web)"/>
    <w:basedOn w:val="Normal"/>
    <w:uiPriority w:val="99"/>
    <w:unhideWhenUsed/>
    <w:rsid w:val="00C401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med.ncbi.nlm.nih.gov/40710009/" TargetMode="External"/><Relationship Id="rId21" Type="http://schemas.openxmlformats.org/officeDocument/2006/relationships/hyperlink" Target="https://www.google.com/search?q=https://doi.org/10.3390/genes11091094" TargetMode="External"/><Relationship Id="rId42" Type="http://schemas.openxmlformats.org/officeDocument/2006/relationships/hyperlink" Target="https://pubmed.ncbi.nlm.nih.gov/38321098/" TargetMode="External"/><Relationship Id="rId47" Type="http://schemas.openxmlformats.org/officeDocument/2006/relationships/hyperlink" Target="https://pubmed.ncbi.nlm.nih.gov/38967521/" TargetMode="External"/><Relationship Id="rId63" Type="http://schemas.openxmlformats.org/officeDocument/2006/relationships/hyperlink" Target="https://www.sciencedirect.com/science/article/pii/S266645932500040X" TargetMode="External"/><Relationship Id="rId68" Type="http://schemas.openxmlformats.org/officeDocument/2006/relationships/hyperlink" Target="https://link.springer.com/article/10.1007/s10654-023-01091-4" TargetMode="External"/><Relationship Id="rId2" Type="http://schemas.openxmlformats.org/officeDocument/2006/relationships/numbering" Target="numbering.xml"/><Relationship Id="rId16" Type="http://schemas.openxmlformats.org/officeDocument/2006/relationships/hyperlink" Target="https://www.google.com/search?q=https://doi.org/10.3390/geriatrics5040095" TargetMode="External"/><Relationship Id="rId29" Type="http://schemas.openxmlformats.org/officeDocument/2006/relationships/hyperlink" Target="https://pubmed.ncbi.nlm.nih.gov/41867683/" TargetMode="External"/><Relationship Id="rId11" Type="http://schemas.openxmlformats.org/officeDocument/2006/relationships/hyperlink" Target="https://doi.org/10.1007/s11357-022-00637-w" TargetMode="External"/><Relationship Id="rId24" Type="http://schemas.openxmlformats.org/officeDocument/2006/relationships/hyperlink" Target="https://www.google.com/search?q=https://doi.org/10.7554/elife.96473" TargetMode="External"/><Relationship Id="rId32" Type="http://schemas.openxmlformats.org/officeDocument/2006/relationships/hyperlink" Target="https://pubmed.ncbi.nlm.nih.gov/39174689/" TargetMode="External"/><Relationship Id="rId37" Type="http://schemas.openxmlformats.org/officeDocument/2006/relationships/hyperlink" Target="https://pubmed.ncbi.nlm.nih.gov/38876543/" TargetMode="External"/><Relationship Id="rId40" Type="http://schemas.openxmlformats.org/officeDocument/2006/relationships/hyperlink" Target="https://pubmed.ncbi.nlm.nih.gov/38543210/" TargetMode="External"/><Relationship Id="rId45" Type="http://schemas.openxmlformats.org/officeDocument/2006/relationships/hyperlink" Target="https://pubmed.ncbi.nlm.nih.gov/38950338/" TargetMode="External"/><Relationship Id="rId53" Type="http://schemas.openxmlformats.org/officeDocument/2006/relationships/hyperlink" Target="https://www.ncbi.nlm.nih.gov/pmc/articles/PMC11722046/" TargetMode="External"/><Relationship Id="rId58" Type="http://schemas.openxmlformats.org/officeDocument/2006/relationships/hyperlink" Target="https://doaj.org/article/50a0af4f9a834ea592f2eff5f5ff4786" TargetMode="External"/><Relationship Id="rId66" Type="http://schemas.openxmlformats.org/officeDocument/2006/relationships/hyperlink" Target="https://journals.sagepub.com/doi/10.1177/03795721241228060"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alz-journals.onlinelibrary.wiley.com/doi/10.1002/alz.70864" TargetMode="External"/><Relationship Id="rId19" Type="http://schemas.openxmlformats.org/officeDocument/2006/relationships/hyperlink" Target="https://www.google.com/search?q=https://doi.org/10.1016/j.cmet.2021.08.018" TargetMode="External"/><Relationship Id="rId14" Type="http://schemas.openxmlformats.org/officeDocument/2006/relationships/hyperlink" Target="https://www.google.com/search?q=https://doi.org/10.3390/nu11030676" TargetMode="External"/><Relationship Id="rId22" Type="http://schemas.openxmlformats.org/officeDocument/2006/relationships/hyperlink" Target="https://doi.org/10.3390/genes15121599" TargetMode="External"/><Relationship Id="rId27" Type="http://schemas.openxmlformats.org/officeDocument/2006/relationships/hyperlink" Target="https://pubmed.ncbi.nlm.nih.gov/40114038/" TargetMode="External"/><Relationship Id="rId30" Type="http://schemas.openxmlformats.org/officeDocument/2006/relationships/hyperlink" Target="https://pubmed.ncbi.nlm.nih.gov/40114193/?utm_source=chatgpt.com" TargetMode="External"/><Relationship Id="rId35" Type="http://schemas.openxmlformats.org/officeDocument/2006/relationships/hyperlink" Target="https://pubmed.ncbi.nlm.nih.gov/41045493/" TargetMode="External"/><Relationship Id="rId43" Type="http://schemas.openxmlformats.org/officeDocument/2006/relationships/hyperlink" Target="https://pubmed.ncbi.nlm.nih.gov/38109876/" TargetMode="External"/><Relationship Id="rId48" Type="http://schemas.openxmlformats.org/officeDocument/2006/relationships/hyperlink" Target="https://www.frontiersin.org/journals/nutrition/articles/10.3389/fnut.2025.1505616/full" TargetMode="External"/><Relationship Id="rId56" Type="http://schemas.openxmlformats.org/officeDocument/2006/relationships/hyperlink" Target="https://www.frontiersin.org/journals/nutrition/articles/10.3389/fnut.2025.1674062/full" TargetMode="External"/><Relationship Id="rId64" Type="http://schemas.openxmlformats.org/officeDocument/2006/relationships/hyperlink" Target="https://www.ncbi.nlm.nih.gov/pmc/articles/PMC12789806/" TargetMode="External"/><Relationship Id="rId69" Type="http://schemas.openxmlformats.org/officeDocument/2006/relationships/hyperlink" Target="https://link.springer.com/article/10.1186/s13148-025-01863-7" TargetMode="External"/><Relationship Id="rId8" Type="http://schemas.openxmlformats.org/officeDocument/2006/relationships/hyperlink" Target="https://www.google.com/search?q=https://doi.org/10.1016/j.arr.2014.01.001" TargetMode="External"/><Relationship Id="rId51" Type="http://schemas.openxmlformats.org/officeDocument/2006/relationships/hyperlink" Target="https://www.mdpi.com/2072-6643/17/18/3002" TargetMode="External"/><Relationship Id="rId72" Type="http://schemas.openxmlformats.org/officeDocument/2006/relationships/hyperlink" Target="https://www.mdpi.com/2072-6643/17/5/815" TargetMode="External"/><Relationship Id="rId3" Type="http://schemas.openxmlformats.org/officeDocument/2006/relationships/styles" Target="styles.xml"/><Relationship Id="rId12" Type="http://schemas.openxmlformats.org/officeDocument/2006/relationships/hyperlink" Target="https://www.google.com/search?q=https://doi.org/10.3389/fphar.2024.1298181" TargetMode="External"/><Relationship Id="rId17" Type="http://schemas.openxmlformats.org/officeDocument/2006/relationships/hyperlink" Target="https://www.google.com/search?q=https://doi.org/10.3945/jn.116.235119" TargetMode="External"/><Relationship Id="rId25" Type="http://schemas.openxmlformats.org/officeDocument/2006/relationships/hyperlink" Target="https://www.google.com/search?q=https://doi.org/10.3390/ijms25095044" TargetMode="External"/><Relationship Id="rId33" Type="http://schemas.openxmlformats.org/officeDocument/2006/relationships/hyperlink" Target="https://pubmed.ncbi.nlm.nih.gov/39243176/" TargetMode="External"/><Relationship Id="rId38" Type="http://schemas.openxmlformats.org/officeDocument/2006/relationships/hyperlink" Target="https://pubmed.ncbi.nlm.nih.gov/38765432/" TargetMode="External"/><Relationship Id="rId46" Type="http://schemas.openxmlformats.org/officeDocument/2006/relationships/hyperlink" Target="https://doi.org/10.1186/s12937-024-00914-8" TargetMode="External"/><Relationship Id="rId59" Type="http://schemas.openxmlformats.org/officeDocument/2006/relationships/hyperlink" Target="https://www.atherosclerosis-journal.com/article/S0021-9150(25)01426-1/abstract" TargetMode="External"/><Relationship Id="rId67" Type="http://schemas.openxmlformats.org/officeDocument/2006/relationships/hyperlink" Target="https://pmc.ncbi.nlm.nih.gov/articles/PMC12302194" TargetMode="External"/><Relationship Id="rId20" Type="http://schemas.openxmlformats.org/officeDocument/2006/relationships/hyperlink" Target="https://www.google.com/search?q=https://doi.org/10.3389/fnut.2024.1363181" TargetMode="External"/><Relationship Id="rId41" Type="http://schemas.openxmlformats.org/officeDocument/2006/relationships/hyperlink" Target="https://pubmed.ncbi.nlm.nih.gov/38432109/" TargetMode="External"/><Relationship Id="rId54" Type="http://schemas.openxmlformats.org/officeDocument/2006/relationships/hyperlink" Target="https://academic.oup.com/eurjpc/article/31/15/1863/7692830" TargetMode="External"/><Relationship Id="rId62" Type="http://schemas.openxmlformats.org/officeDocument/2006/relationships/hyperlink" Target="https://www.sciencedaily.com/releases/2025/02/250218203749.htm" TargetMode="External"/><Relationship Id="rId70" Type="http://schemas.openxmlformats.org/officeDocument/2006/relationships/hyperlink" Target="https://doaj.org/article/c1580ba678eb4fe0bba89a78c8d7bd48"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oogle.com/search?q=https://doi.org/10.3390/nu17020242" TargetMode="External"/><Relationship Id="rId15" Type="http://schemas.openxmlformats.org/officeDocument/2006/relationships/hyperlink" Target="https://www.google.com/search?q=https://doi.org/10.3390/nu12113364" TargetMode="External"/><Relationship Id="rId23" Type="http://schemas.openxmlformats.org/officeDocument/2006/relationships/hyperlink" Target="https://www.google.com/search?q=https://doi.org/10.3389/fgene.2012.00224" TargetMode="External"/><Relationship Id="rId28" Type="http://schemas.openxmlformats.org/officeDocument/2006/relationships/hyperlink" Target="https://pubmed.ncbi.nlm.nih.gov/41150797/?utm_source=chatgpt.com" TargetMode="External"/><Relationship Id="rId36" Type="http://schemas.openxmlformats.org/officeDocument/2006/relationships/hyperlink" Target="https://pubmed.ncbi.nlm.nih.gov/38912345/" TargetMode="External"/><Relationship Id="rId49" Type="http://schemas.openxmlformats.org/officeDocument/2006/relationships/hyperlink" Target="https://www.frontiersin.org/journals/genetics/articles/10.3389/fgene.2025.1693729/full" TargetMode="External"/><Relationship Id="rId57" Type="http://schemas.openxmlformats.org/officeDocument/2006/relationships/hyperlink" Target="https://link.springer.com/article/10.1007/s12011-024-04395-y" TargetMode="External"/><Relationship Id="rId10" Type="http://schemas.openxmlformats.org/officeDocument/2006/relationships/hyperlink" Target="https://www.google.com/search?q=https://doi.org/10.26508/lsa.202402868" TargetMode="External"/><Relationship Id="rId31" Type="http://schemas.openxmlformats.org/officeDocument/2006/relationships/hyperlink" Target="https://pubmed.ncbi.nlm.nih.gov/38679184/?utm_source=chatgpt.com" TargetMode="External"/><Relationship Id="rId44" Type="http://schemas.openxmlformats.org/officeDocument/2006/relationships/hyperlink" Target="https://pubmed.ncbi.nlm.nih.gov/38098765/" TargetMode="External"/><Relationship Id="rId52" Type="http://schemas.openxmlformats.org/officeDocument/2006/relationships/hyperlink" Target="https://onlinelibrary.wiley.com/doi/10.1002/ctd2.70094" TargetMode="External"/><Relationship Id="rId60" Type="http://schemas.openxmlformats.org/officeDocument/2006/relationships/hyperlink" Target="https://doaj.org/article/c619109c820f46c5b4c369177e8f5572" TargetMode="External"/><Relationship Id="rId65" Type="http://schemas.openxmlformats.org/officeDocument/2006/relationships/hyperlink" Target="https://www.ncbi.nlm.nih.gov/pmc/articles/PMC12757219/" TargetMode="External"/><Relationship Id="rId73" Type="http://schemas.openxmlformats.org/officeDocument/2006/relationships/hyperlink" Target="https://www.jacc.org/doi/10.1016/j.jacadv.2023.100643" TargetMode="External"/><Relationship Id="rId4" Type="http://schemas.openxmlformats.org/officeDocument/2006/relationships/settings" Target="settings.xml"/><Relationship Id="rId9" Type="http://schemas.openxmlformats.org/officeDocument/2006/relationships/hyperlink" Target="https://www.google.com/search?q=https://doi.org/10.3390/cells11020214" TargetMode="External"/><Relationship Id="rId13" Type="http://schemas.openxmlformats.org/officeDocument/2006/relationships/hyperlink" Target="https://www.google.com/search?q=https://doi.org/10.1038/sj.embor.7400426" TargetMode="External"/><Relationship Id="rId18" Type="http://schemas.openxmlformats.org/officeDocument/2006/relationships/hyperlink" Target="https://www.google.com/search?q=https://doi.org/10.3389/fnagi.2015.00059" TargetMode="External"/><Relationship Id="rId39" Type="http://schemas.openxmlformats.org/officeDocument/2006/relationships/hyperlink" Target="https://pubmed.ncbi.nlm.nih.gov/38654321/" TargetMode="External"/><Relationship Id="rId34" Type="http://schemas.openxmlformats.org/officeDocument/2006/relationships/hyperlink" Target="https://pubmed.ncbi.nlm.nih.gov/39548551/" TargetMode="External"/><Relationship Id="rId50" Type="http://schemas.openxmlformats.org/officeDocument/2006/relationships/hyperlink" Target="https://www.parsemus.org/2024/12/omega-3-fatty-acids-may-protect-brain-health/" TargetMode="External"/><Relationship Id="rId55" Type="http://schemas.openxmlformats.org/officeDocument/2006/relationships/hyperlink" Target="https://www.nature.com/articles/s41598-025-21193-1" TargetMode="External"/><Relationship Id="rId7" Type="http://schemas.openxmlformats.org/officeDocument/2006/relationships/hyperlink" Target="https://www.google.com/search?q=https://doi.org/10.1017/s0029665108006988" TargetMode="External"/><Relationship Id="rId71" Type="http://schemas.openxmlformats.org/officeDocument/2006/relationships/hyperlink" Target="https://jamanetwork.com/journals/jamanetworkopen/fullarticle/28203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3863</Words>
  <Characters>22020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Inesh Mamidipaka</cp:lastModifiedBy>
  <cp:revision>2</cp:revision>
  <dcterms:created xsi:type="dcterms:W3CDTF">2026-06-19T16:17:00Z</dcterms:created>
  <dcterms:modified xsi:type="dcterms:W3CDTF">2026-06-19T16:17:00Z</dcterms:modified>
  <cp:category/>
</cp:coreProperties>
</file>