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media/image1.wmf" ContentType="image/x-wmf"/>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both"/>
        <w:rPr>
          <w:rFonts w:ascii="Liberation Serif" w:hAnsi="Liberation Serif"/>
        </w:rPr>
      </w:pPr>
      <w:hyperlink r:id="rId5">
        <w:r>
          <w:rPr/>
          <w:drawing>
            <wp:anchor distT="0" distB="0" distL="0" distR="0" simplePos="0" relativeHeight="2"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 name="Image1 Copy 1 Copy 2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Copy 2 Copy 1 Copy 1 Copy 1 Copy 1 Copy 1"/>
                      <pic:cNvPicPr>
                        <a:picLocks noChangeAspect="1" noChangeArrowheads="1"/>
                      </pic:cNvPicPr>
                    </pic:nvPicPr>
                    <pic:blipFill>
                      <a:blip r:embed="rId2">
                        <a:grayscl/>
                      </a:blip>
                      <a:stretch>
                        <a:fillRect/>
                      </a:stretch>
                    </pic:blipFill>
                    <pic:spPr bwMode="auto">
                      <a:xfrm>
                        <a:off x="0" y="0"/>
                        <a:ext cx="1007110" cy="1016000"/>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2" name="Image2 Copy 2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Copy 2 Copy 1 Copy 1 Copy 1 Copy 1 Copy 1"/>
                      <pic:cNvPicPr>
                        <a:picLocks noChangeAspect="1" noChangeArrowheads="1"/>
                      </pic:cNvPicPr>
                    </pic:nvPicPr>
                    <pic:blipFill>
                      <a:blip r:embed="rId3"/>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4"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3" name="Shape 25"/>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bidi w:val="0"/>
                                <w:jc w:val="center"/>
                                <w:rPr/>
                              </w:pPr>
                              <w:r>
                                <w:rPr>
                                  <w:rFonts w:ascii="Liberation Serif;Times New Roman" w:hAnsi="Liberation Serif;Times New Roman"/>
                                  <w:b/>
                                  <w:bCs/>
                                  <w:sz w:val="26"/>
                                  <w:szCs w:val="26"/>
                                </w:rPr>
                                <w:t xml:space="preserve">  OFFICE OF THE CDA ( IT &amp; SDC) </w:t>
                              </w:r>
                            </w:p>
                            <w:p>
                              <w:pPr>
                                <w:bidi w:val="0"/>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bidi w:val="0"/>
                                <w:jc w:val="center"/>
                                <w:rPr/>
                              </w:pPr>
                              <w:r>
                                <w:rPr>
                                  <w:rFonts w:ascii="Liberation Serif;Times New Roman" w:hAnsi="Liberation Serif;Times New Roman"/>
                                  <w:b/>
                                  <w:bCs/>
                                  <w:sz w:val="22"/>
                                  <w:szCs w:val="22"/>
                                </w:rPr>
                                <w:t>Trimulgherry, Secunderabad – 500 015.</w:t>
                              </w:r>
                            </w:p>
                            <w:p>
                              <w:pPr>
                                <w:bidi w:val="0"/>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bidi w:val="0"/>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130.9pt;margin-top:9.45pt;width:239.2pt;height:70.6pt;mso-wrap-style:square;v-text-anchor:top" type="_x0000_t202">
                  <v:textbox>
                    <w:txbxContent>
                      <w:p>
                        <w:pPr>
                          <w:bidi w:val="0"/>
                          <w:jc w:val="center"/>
                          <w:rPr/>
                        </w:pPr>
                        <w:r>
                          <w:rPr>
                            <w:rFonts w:ascii="Liberation Serif;Times New Roman" w:hAnsi="Liberation Serif;Times New Roman"/>
                            <w:b/>
                            <w:bCs/>
                            <w:sz w:val="26"/>
                            <w:szCs w:val="26"/>
                          </w:rPr>
                          <w:t xml:space="preserve">  OFFICE OF THE CDA ( IT &amp; SDC) </w:t>
                        </w:r>
                      </w:p>
                      <w:p>
                        <w:pPr>
                          <w:bidi w:val="0"/>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bidi w:val="0"/>
                          <w:jc w:val="center"/>
                          <w:rPr/>
                        </w:pPr>
                        <w:r>
                          <w:rPr>
                            <w:rFonts w:ascii="Liberation Serif;Times New Roman" w:hAnsi="Liberation Serif;Times New Roman"/>
                            <w:b/>
                            <w:bCs/>
                            <w:sz w:val="22"/>
                            <w:szCs w:val="22"/>
                          </w:rPr>
                          <w:t>Trimulgherry, Secunderabad – 500 015.</w:t>
                        </w:r>
                      </w:p>
                      <w:p>
                        <w:pPr>
                          <w:bidi w:val="0"/>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bidi w:val="0"/>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5" behindDoc="0" locked="0" layoutInCell="1" allowOverlap="1">
                  <wp:simplePos x="0" y="0"/>
                  <wp:positionH relativeFrom="column">
                    <wp:posOffset>2540</wp:posOffset>
                  </wp:positionH>
                  <wp:positionV relativeFrom="paragraph">
                    <wp:posOffset>15240</wp:posOffset>
                  </wp:positionV>
                  <wp:extent cx="6296660" cy="1124585"/>
                  <wp:effectExtent l="635" t="635" r="635" b="635"/>
                  <wp:wrapNone/>
                  <wp:docPr id="4" name="Shape 26"/>
                  <a:graphic xmlns:a="http://schemas.openxmlformats.org/drawingml/2006/main">
                    <a:graphicData uri="http://schemas.microsoft.com/office/word/2010/wordprocessingShape">
                      <wps:wsp>
                        <wps:cNvSpPr/>
                        <wps:nvSpPr>
                          <wps:cNvPr id="5" name="Shape 26"/>
                          <wps:cNvSpPr/>
                        </wps:nvSpPr>
                        <wps:spPr>
                          <a:xfrm>
                            <a:off x="0" y="0"/>
                            <a:ext cx="6296760" cy="1124640"/>
                          </a:xfrm>
                          <a:prstGeom prst="rect">
                            <a:avLst/>
                          </a:prstGeom>
                          <a:noFill/>
                          <a:ln w="0">
                            <a:solidFill>
                              <a:srgbClr val="3465A4"/>
                            </a:solidFill>
                          </a:ln>
                        </wps:spPr>
                        <wps:bodyPr/>
                      </wps:wsp>
                    </a:graphicData>
                  </a:graphic>
                </wp:anchor>
              </w:drawing>
            </mc:Choice>
            <mc:Fallback>
              <w:pict>
                <v:rect id="shape_0" stroked="t" o:allowincell="f" style="position:absolute;margin-left:0.2pt;margin-top:1.2pt;width:495.75pt;height:88.5pt;mso-wrap-style:none;v-text-anchor:middle">
                  <v:fill o:detectmouseclick="t" on="false"/>
                  <v:stroke color="#3465a4" joinstyle="round" endcap="flat"/>
                  <w10:wrap type="none"/>
                </v:rect>
              </w:pict>
            </mc:Fallback>
          </mc:AlternateContent>
        </w:r>
      </w:hyperlink>
    </w:p>
    <w:p>
      <w:pPr>
        <w:pStyle w:val="Normal"/>
        <w:bidi w:val="0"/>
        <w:jc w:val="both"/>
        <w:rPr>
          <w:rFonts w:ascii="Liberation Serif" w:hAnsi="Liberation Serif"/>
          <w:b w:val="false"/>
          <w:bCs w:val="false"/>
          <w:sz w:val="28"/>
          <w:szCs w:val="24"/>
          <w:u w:val="none"/>
        </w:rPr>
      </w:pPr>
      <w:r>
        <w:rPr>
          <w:b w:val="false"/>
          <w:bCs w:val="false"/>
          <w:sz w:val="28"/>
          <w:szCs w:val="24"/>
          <w:u w:val="none"/>
        </w:rPr>
        <w:t xml:space="preserve">No. </w:t>
      </w:r>
      <w:r>
        <w:rPr>
          <w:b w:val="false"/>
          <w:bCs w:val="false"/>
          <w:sz w:val="28"/>
          <w:szCs w:val="24"/>
          <w:u w:val="none"/>
        </w:rPr>
        <w:t>IT&amp;SDC/</w:t>
      </w:r>
      <w:r>
        <w:rPr>
          <w:b w:val="false"/>
          <w:bCs w:val="false"/>
          <w:sz w:val="28"/>
          <w:szCs w:val="24"/>
          <w:u w:val="none"/>
        </w:rPr>
        <w:t>Hardware/202</w:t>
      </w:r>
      <w:r>
        <w:rPr>
          <w:b w:val="false"/>
          <w:bCs w:val="false"/>
          <w:sz w:val="28"/>
          <w:szCs w:val="24"/>
          <w:u w:val="none"/>
        </w:rPr>
        <w:t>5</w:t>
      </w:r>
      <w:r>
        <w:rPr>
          <w:b w:val="false"/>
          <w:bCs w:val="false"/>
          <w:sz w:val="28"/>
          <w:szCs w:val="24"/>
          <w:u w:val="none"/>
        </w:rPr>
        <w:t>/</w:t>
      </w:r>
      <w:r>
        <w:rPr>
          <w:b w:val="false"/>
          <w:bCs w:val="false"/>
          <w:sz w:val="28"/>
          <w:szCs w:val="24"/>
          <w:u w:val="none"/>
        </w:rPr>
        <w:t>AI Server</w:t>
      </w:r>
      <w:r>
        <w:rPr>
          <w:b w:val="false"/>
          <w:bCs w:val="false"/>
          <w:sz w:val="28"/>
          <w:szCs w:val="24"/>
          <w:u w:val="none"/>
        </w:rPr>
        <w:tab/>
        <w:tab/>
        <w:tab/>
        <w:t xml:space="preserve">   </w:t>
        <w:tab/>
        <w:t xml:space="preserve">     Dated: </w:t>
      </w:r>
      <w:r>
        <w:rPr>
          <w:b w:val="false"/>
          <w:bCs w:val="false"/>
          <w:sz w:val="28"/>
          <w:szCs w:val="24"/>
          <w:u w:val="none"/>
        </w:rPr>
        <w:t>25.08.2025</w:t>
      </w:r>
    </w:p>
    <w:p>
      <w:pPr>
        <w:pStyle w:val="Normal"/>
        <w:bidi w:val="0"/>
        <w:spacing w:before="0" w:after="0"/>
        <w:jc w:val="both"/>
        <w:rPr>
          <w:rFonts w:ascii="Liberation Serif" w:hAnsi="Liberation Serif"/>
          <w:b w:val="false"/>
          <w:bCs w:val="false"/>
          <w:sz w:val="28"/>
          <w:szCs w:val="24"/>
          <w:u w:val="single"/>
        </w:rPr>
      </w:pPr>
      <w:r>
        <w:rPr>
          <w:b w:val="false"/>
          <w:bCs w:val="false"/>
          <w:sz w:val="28"/>
          <w:szCs w:val="24"/>
          <w:u w:val="single"/>
        </w:rPr>
      </w:r>
    </w:p>
    <w:p>
      <w:pPr>
        <w:pStyle w:val="Normal"/>
        <w:bidi w:val="0"/>
        <w:jc w:val="center"/>
        <w:rPr>
          <w:rFonts w:ascii="Liberation Serif" w:hAnsi="Liberation Serif"/>
          <w:b/>
          <w:bCs/>
          <w:sz w:val="28"/>
          <w:szCs w:val="24"/>
          <w:u w:val="single"/>
        </w:rPr>
      </w:pPr>
      <w:r>
        <w:rPr>
          <w:b/>
          <w:bCs/>
          <w:sz w:val="28"/>
          <w:szCs w:val="24"/>
          <w:u w:val="single"/>
        </w:rPr>
        <w:t>OFFICE NOTE</w:t>
      </w:r>
    </w:p>
    <w:p>
      <w:pPr>
        <w:pStyle w:val="Normal"/>
        <w:bidi w:val="0"/>
        <w:spacing w:before="114" w:after="114"/>
        <w:jc w:val="center"/>
        <w:rPr>
          <w:rFonts w:ascii="Liberation Serif" w:hAnsi="Liberation Serif"/>
          <w:b/>
          <w:bCs/>
          <w:sz w:val="24"/>
          <w:szCs w:val="24"/>
          <w:u w:val="single"/>
        </w:rPr>
      </w:pPr>
      <w:r>
        <w:rPr>
          <w:b/>
          <w:bCs/>
          <w:sz w:val="24"/>
          <w:szCs w:val="24"/>
          <w:u w:val="single"/>
        </w:rPr>
      </w:r>
    </w:p>
    <w:p>
      <w:pPr>
        <w:pStyle w:val="BodyText"/>
        <w:bidi w:val="0"/>
        <w:jc w:val="both"/>
        <w:rPr>
          <w:rFonts w:ascii="Nimbus Roman No9 L" w:hAnsi="Nimbus Roman No9 L"/>
          <w:b w:val="false"/>
          <w:bCs w:val="false"/>
          <w:sz w:val="24"/>
          <w:szCs w:val="24"/>
          <w:u w:val="none"/>
        </w:rPr>
      </w:pPr>
      <w:r>
        <w:rPr>
          <w:rStyle w:val="Strong"/>
          <w:b w:val="false"/>
          <w:bCs w:val="false"/>
          <w:sz w:val="26"/>
          <w:szCs w:val="26"/>
          <w:u w:val="none"/>
        </w:rPr>
        <w:t>Subject</w:t>
      </w:r>
      <w:r>
        <w:rPr>
          <w:rStyle w:val="Strong"/>
          <w:sz w:val="26"/>
          <w:szCs w:val="26"/>
          <w:u w:val="none"/>
        </w:rPr>
        <w:t>:</w:t>
        <w:tab/>
      </w:r>
      <w:r>
        <w:rPr>
          <w:b w:val="false"/>
          <w:bCs w:val="false"/>
          <w:sz w:val="26"/>
          <w:szCs w:val="26"/>
          <w:u w:val="none"/>
        </w:rPr>
        <w:t>Proposal for Formation of Technical and Financial Bid Evaluation Committees</w:t>
        <w:br/>
      </w:r>
      <w:r>
        <w:rPr>
          <w:rStyle w:val="Strong"/>
          <w:b w:val="false"/>
          <w:bCs w:val="false"/>
          <w:sz w:val="26"/>
          <w:szCs w:val="26"/>
          <w:u w:val="none"/>
        </w:rPr>
        <w:t>Reference</w:t>
      </w:r>
      <w:r>
        <w:rPr>
          <w:rStyle w:val="Strong"/>
          <w:sz w:val="26"/>
          <w:szCs w:val="26"/>
          <w:u w:val="none"/>
        </w:rPr>
        <w:t>:</w:t>
        <w:tab/>
      </w:r>
      <w:r>
        <w:rPr>
          <w:b w:val="false"/>
          <w:bCs w:val="false"/>
          <w:sz w:val="26"/>
          <w:szCs w:val="26"/>
          <w:u w:val="none"/>
        </w:rPr>
        <w:t xml:space="preserve">Bid No. GEM/2025/B/6537732 dated 07.08.2025 and Bid Corrigendum No. </w:t>
        <w:tab/>
        <w:tab/>
        <w:tab/>
        <w:t>GEM/2025/B/6537732-C1</w:t>
      </w:r>
    </w:p>
    <w:p>
      <w:pPr>
        <w:pStyle w:val="BodyText"/>
        <w:pBdr/>
        <w:bidi w:val="0"/>
        <w:spacing w:before="0" w:after="0"/>
        <w:ind w:hanging="0" w:start="0" w:end="0"/>
        <w:jc w:val="both"/>
        <w:rPr>
          <w:rFonts w:ascii="Liberation Serif" w:hAnsi="Liberation Serif"/>
          <w:sz w:val="26"/>
          <w:szCs w:val="26"/>
        </w:rPr>
      </w:pPr>
      <w:r>
        <w:rPr>
          <w:sz w:val="26"/>
          <w:szCs w:val="26"/>
        </w:rPr>
      </w:r>
    </w:p>
    <w:p>
      <w:pPr>
        <w:pStyle w:val="BodyText"/>
        <w:pBdr/>
        <w:bidi w:val="0"/>
        <w:ind w:hanging="0" w:start="0" w:end="0"/>
        <w:jc w:val="both"/>
        <w:rPr>
          <w:rFonts w:ascii="Liberation Serif" w:hAnsi="Liberation Serif"/>
        </w:rPr>
      </w:pPr>
      <w:r>
        <w:rPr>
          <w:sz w:val="26"/>
          <w:szCs w:val="26"/>
        </w:rPr>
        <w:tab/>
        <w:t xml:space="preserve">In reference to the above-mentioned bid and its corrigendum published on the GeM portal for the procurement of an AI server, it is submitted that the technical bid submission will close on 27.08.2025 </w:t>
      </w:r>
      <w:r>
        <w:rPr>
          <w:sz w:val="26"/>
          <w:szCs w:val="26"/>
        </w:rPr>
        <w:t>and s</w:t>
      </w:r>
      <w:r>
        <w:rPr>
          <w:sz w:val="26"/>
          <w:szCs w:val="26"/>
        </w:rPr>
        <w:t>ubsequently, the financial bid will be opened based on the recommendations of the Technical Bid Evaluation Committee.</w:t>
      </w:r>
    </w:p>
    <w:p>
      <w:pPr>
        <w:pStyle w:val="BodyText"/>
        <w:pBdr/>
        <w:bidi w:val="0"/>
        <w:ind w:hanging="0" w:start="0" w:end="0"/>
        <w:jc w:val="both"/>
        <w:rPr>
          <w:rFonts w:ascii="Liberation Serif" w:hAnsi="Liberation Serif"/>
          <w:sz w:val="26"/>
          <w:szCs w:val="26"/>
        </w:rPr>
      </w:pPr>
      <w:r>
        <w:rPr>
          <w:sz w:val="26"/>
          <w:szCs w:val="26"/>
        </w:rPr>
        <w:tab/>
        <w:t>The Technical Bid Evaluation Committee will be responsible for detailed examination and assessment of the technical bids to determine compliance with all eligibility criteria and technical specifications stipulated in the bid documents.</w:t>
      </w:r>
    </w:p>
    <w:p>
      <w:pPr>
        <w:pStyle w:val="BodyText"/>
        <w:pBdr/>
        <w:bidi w:val="0"/>
        <w:ind w:hanging="0" w:start="0" w:end="0"/>
        <w:jc w:val="both"/>
        <w:rPr>
          <w:rFonts w:ascii="Liberation Serif" w:hAnsi="Liberation Serif"/>
          <w:sz w:val="26"/>
          <w:szCs w:val="26"/>
        </w:rPr>
      </w:pPr>
      <w:r>
        <w:rPr>
          <w:sz w:val="26"/>
          <w:szCs w:val="26"/>
        </w:rPr>
        <w:tab/>
        <w:t>The Financial Bid Evaluation Committee will evaluate the financial bids of those firms adjudged technically qualified and provide its recommendations accordingly.</w:t>
      </w:r>
    </w:p>
    <w:p>
      <w:pPr>
        <w:pStyle w:val="BodyText"/>
        <w:pBdr/>
        <w:bidi w:val="0"/>
        <w:ind w:hanging="0" w:start="0" w:end="0"/>
        <w:jc w:val="both"/>
        <w:rPr>
          <w:rFonts w:ascii="Liberation Serif" w:hAnsi="Liberation Serif"/>
          <w:sz w:val="26"/>
          <w:szCs w:val="26"/>
        </w:rPr>
      </w:pPr>
      <w:r>
        <w:rPr>
          <w:sz w:val="26"/>
          <w:szCs w:val="26"/>
        </w:rPr>
        <w:tab/>
        <w:t>The constitution of these committees is vital to ensure a transparent, fair, and rigorous evaluation process in accordance with applicable procurement rules and guidelines.</w:t>
      </w:r>
    </w:p>
    <w:p>
      <w:pPr>
        <w:pStyle w:val="BodyText"/>
        <w:pBdr/>
        <w:bidi w:val="0"/>
        <w:ind w:hanging="0" w:start="0" w:end="0"/>
        <w:jc w:val="both"/>
        <w:rPr>
          <w:rFonts w:ascii="Liberation Serif" w:hAnsi="Liberation Serif"/>
        </w:rPr>
      </w:pPr>
      <w:r>
        <w:rPr>
          <w:sz w:val="26"/>
          <w:szCs w:val="26"/>
        </w:rPr>
        <w:tab/>
        <w:t xml:space="preserve">In view of the </w:t>
      </w:r>
      <w:r>
        <w:rPr>
          <w:sz w:val="26"/>
          <w:szCs w:val="26"/>
        </w:rPr>
        <w:t>above</w:t>
      </w:r>
      <w:r>
        <w:rPr>
          <w:sz w:val="26"/>
          <w:szCs w:val="26"/>
        </w:rPr>
        <w:t>, approval is sought for the nomination of officials to constitute the Technical Bid Evaluation Committee and the Financial Bid Evaluation Committee.</w:t>
      </w:r>
    </w:p>
    <w:p>
      <w:pPr>
        <w:pStyle w:val="BodyText"/>
        <w:pBdr/>
        <w:bidi w:val="0"/>
        <w:spacing w:before="171" w:after="311"/>
        <w:ind w:hanging="0" w:start="0" w:end="0"/>
        <w:jc w:val="start"/>
        <w:rPr>
          <w:rFonts w:ascii="Liberation Serif" w:hAnsi="Liberation Serif"/>
        </w:rPr>
      </w:pPr>
      <w:r>
        <w:rPr>
          <w:sz w:val="26"/>
          <w:szCs w:val="26"/>
        </w:rPr>
        <w:tab/>
        <w:t>Submitted for approval, please.</w:t>
      </w:r>
      <w:r>
        <w:rPr/>
        <w:br/>
        <w:tab/>
        <w:tab/>
        <w:tab/>
        <w:tab/>
        <w:tab/>
        <w:tab/>
        <w:tab/>
        <w:tab/>
        <w:tab/>
        <w:tab/>
        <w:tab/>
        <w:tab/>
      </w:r>
      <w:r>
        <w:rPr/>
        <w:t>AAO</w:t>
      </w:r>
    </w:p>
    <w:p>
      <w:pPr>
        <w:pStyle w:val="BodyText"/>
        <w:pBdr/>
        <w:bidi w:val="0"/>
        <w:spacing w:before="171" w:after="311"/>
        <w:ind w:hanging="0" w:start="0" w:end="0"/>
        <w:jc w:val="start"/>
        <w:rPr>
          <w:rFonts w:ascii="Liberation Serif" w:hAnsi="Liberation Serif"/>
        </w:rPr>
      </w:pPr>
      <w:r>
        <w:rPr/>
      </w:r>
    </w:p>
    <w:p>
      <w:pPr>
        <w:pStyle w:val="BodyText"/>
        <w:pBdr/>
        <w:bidi w:val="0"/>
        <w:spacing w:before="171" w:after="311"/>
        <w:ind w:hanging="0" w:start="0" w:end="0"/>
        <w:jc w:val="start"/>
        <w:rPr>
          <w:rFonts w:ascii="Liberation Serif" w:hAnsi="Liberation Serif"/>
        </w:rPr>
      </w:pPr>
      <w:r>
        <w:rPr/>
      </w:r>
    </w:p>
    <w:p>
      <w:pPr>
        <w:pStyle w:val="BodyText"/>
        <w:pBdr/>
        <w:bidi w:val="0"/>
        <w:spacing w:before="171" w:after="311"/>
        <w:ind w:hanging="0" w:start="0" w:end="0"/>
        <w:jc w:val="start"/>
        <w:rPr>
          <w:rFonts w:ascii="Liberation Serif" w:hAnsi="Liberation Serif"/>
        </w:rPr>
      </w:pPr>
      <w:r>
        <w:rPr/>
      </w:r>
    </w:p>
    <w:p>
      <w:pPr>
        <w:pStyle w:val="BodyText"/>
        <w:pBdr/>
        <w:bidi w:val="0"/>
        <w:spacing w:before="171" w:after="311"/>
        <w:ind w:hanging="0" w:start="0" w:end="0"/>
        <w:jc w:val="start"/>
        <w:rPr>
          <w:rFonts w:ascii="Liberation Serif" w:hAnsi="Liberation Serif"/>
        </w:rPr>
      </w:pPr>
      <w:r>
        <w:rPr/>
      </w:r>
      <w:r>
        <w:br w:type="page"/>
      </w:r>
    </w:p>
    <w:p>
      <w:pPr>
        <w:pStyle w:val="Normal"/>
        <w:bidi w:val="0"/>
        <w:ind w:hanging="0" w:start="0" w:end="0"/>
        <w:jc w:val="both"/>
        <w:rPr>
          <w:rFonts w:ascii="Liberation Serif" w:hAnsi="Liberation Serif"/>
        </w:rPr>
      </w:pPr>
      <w:hyperlink r:id="rId9">
        <w:r>
          <w:rPr/>
          <w:drawing>
            <wp:anchor distT="0" distB="0" distL="0" distR="0" simplePos="0" relativeHeight="6"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6" name="Image1 Copy 1 Copy 2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1 Copy 2 Copy 1 Copy 1 Copy 1 Copy 1 Copy 1 Copy 1"/>
                      <pic:cNvPicPr>
                        <a:picLocks noChangeAspect="1" noChangeArrowheads="1"/>
                      </pic:cNvPicPr>
                    </pic:nvPicPr>
                    <pic:blipFill>
                      <a:blip r:embed="rId6">
                        <a:grayscl/>
                      </a:blip>
                      <a:stretch>
                        <a:fillRect/>
                      </a:stretch>
                    </pic:blipFill>
                    <pic:spPr bwMode="auto">
                      <a:xfrm>
                        <a:off x="0" y="0"/>
                        <a:ext cx="1007110" cy="1016000"/>
                      </a:xfrm>
                      <a:prstGeom prst="rect">
                        <a:avLst/>
                      </a:prstGeom>
                      <a:noFill/>
                    </pic:spPr>
                  </pic:pic>
                </a:graphicData>
              </a:graphic>
            </wp:anchor>
          </w:drawing>
          <w:drawing>
            <wp:anchor distT="0" distB="0" distL="0" distR="0" simplePos="0" relativeHeight="7"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7" name="Image2 Copy 2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Copy 2 Copy 1 Copy 1 Copy 1 Copy 1 Copy 1 Copy 1"/>
                      <pic:cNvPicPr>
                        <a:picLocks noChangeAspect="1" noChangeArrowheads="1"/>
                      </pic:cNvPicPr>
                    </pic:nvPicPr>
                    <pic:blipFill>
                      <a:blip r:embed="rId7"/>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8"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8" name="Shape 1"/>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bidi w:val="0"/>
                                <w:jc w:val="center"/>
                                <w:rPr/>
                              </w:pPr>
                              <w:r>
                                <w:rPr>
                                  <w:rFonts w:ascii="Liberation Serif;Times New Roman" w:hAnsi="Liberation Serif;Times New Roman"/>
                                  <w:b/>
                                  <w:bCs/>
                                  <w:sz w:val="26"/>
                                  <w:szCs w:val="26"/>
                                </w:rPr>
                                <w:t xml:space="preserve">  OFFICE OF THE CDA ( IT &amp; SDC) </w:t>
                              </w:r>
                            </w:p>
                            <w:p>
                              <w:pPr>
                                <w:bidi w:val="0"/>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bidi w:val="0"/>
                                <w:jc w:val="center"/>
                                <w:rPr/>
                              </w:pPr>
                              <w:r>
                                <w:rPr>
                                  <w:rFonts w:ascii="Liberation Serif;Times New Roman" w:hAnsi="Liberation Serif;Times New Roman"/>
                                  <w:b/>
                                  <w:bCs/>
                                  <w:sz w:val="22"/>
                                  <w:szCs w:val="22"/>
                                </w:rPr>
                                <w:t>Trimulgherry, Secunderabad – 500 015.</w:t>
                              </w:r>
                            </w:p>
                            <w:p>
                              <w:pPr>
                                <w:bidi w:val="0"/>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bidi w:val="0"/>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bidi w:val="0"/>
                          <w:jc w:val="center"/>
                          <w:rPr/>
                        </w:pPr>
                        <w:r>
                          <w:rPr>
                            <w:rFonts w:ascii="Liberation Serif;Times New Roman" w:hAnsi="Liberation Serif;Times New Roman"/>
                            <w:b/>
                            <w:bCs/>
                            <w:sz w:val="26"/>
                            <w:szCs w:val="26"/>
                          </w:rPr>
                          <w:t xml:space="preserve">  OFFICE OF THE CDA ( IT &amp; SDC) </w:t>
                        </w:r>
                      </w:p>
                      <w:p>
                        <w:pPr>
                          <w:bidi w:val="0"/>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bidi w:val="0"/>
                          <w:jc w:val="center"/>
                          <w:rPr/>
                        </w:pPr>
                        <w:r>
                          <w:rPr>
                            <w:rFonts w:ascii="Liberation Serif;Times New Roman" w:hAnsi="Liberation Serif;Times New Roman"/>
                            <w:b/>
                            <w:bCs/>
                            <w:sz w:val="22"/>
                            <w:szCs w:val="22"/>
                          </w:rPr>
                          <w:t>Trimulgherry, Secunderabad – 500 015.</w:t>
                        </w:r>
                      </w:p>
                      <w:p>
                        <w:pPr>
                          <w:bidi w:val="0"/>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bidi w:val="0"/>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9" behindDoc="0" locked="0" layoutInCell="1" allowOverlap="1">
                  <wp:simplePos x="0" y="0"/>
                  <wp:positionH relativeFrom="column">
                    <wp:posOffset>2540</wp:posOffset>
                  </wp:positionH>
                  <wp:positionV relativeFrom="paragraph">
                    <wp:posOffset>15240</wp:posOffset>
                  </wp:positionV>
                  <wp:extent cx="6296660" cy="1124585"/>
                  <wp:effectExtent l="635" t="635" r="635" b="635"/>
                  <wp:wrapNone/>
                  <wp:docPr id="9" name="Shape 2"/>
                  <a:graphic xmlns:a="http://schemas.openxmlformats.org/drawingml/2006/main">
                    <a:graphicData uri="http://schemas.microsoft.com/office/word/2010/wordprocessingShape">
                      <wps:wsp>
                        <wps:cNvSpPr/>
                        <wps:nvSpPr>
                          <wps:cNvPr id="10" name="Shape 2"/>
                          <wps:cNvSpPr/>
                        </wps:nvSpPr>
                        <wps:spPr>
                          <a:xfrm>
                            <a:off x="0" y="0"/>
                            <a:ext cx="6296760" cy="1124640"/>
                          </a:xfrm>
                          <a:prstGeom prst="rect">
                            <a:avLst/>
                          </a:prstGeom>
                          <a:noFill/>
                          <a:ln w="0">
                            <a:solidFill>
                              <a:srgbClr val="3465A4"/>
                            </a:solidFill>
                          </a:ln>
                        </wps:spPr>
                        <wps:bodyPr/>
                      </wps:wsp>
                    </a:graphicData>
                  </a:graphic>
                </wp:anchor>
              </w:drawing>
            </mc:Choice>
            <mc:Fallback>
              <w:pict>
                <v:rect id="shape_0" stroked="t" o:allowincell="f" style="position:absolute;margin-left:0.2pt;margin-top:1.2pt;width:495.75pt;height:88.5pt;mso-wrap-style:none;v-text-anchor:middle">
                  <v:fill o:detectmouseclick="t" on="false"/>
                  <v:stroke color="#3465a4" joinstyle="round" endcap="flat"/>
                  <w10:wrap type="none"/>
                </v:rect>
              </w:pict>
            </mc:Fallback>
          </mc:AlternateContent>
        </w:r>
      </w:hyperlink>
    </w:p>
    <w:p>
      <w:pPr>
        <w:pStyle w:val="Normal"/>
        <w:bidi w:val="0"/>
        <w:jc w:val="both"/>
        <w:rPr>
          <w:rFonts w:ascii="Liberation Serif" w:hAnsi="Liberation Serif"/>
          <w:b w:val="false"/>
          <w:bCs w:val="false"/>
          <w:sz w:val="28"/>
          <w:szCs w:val="24"/>
          <w:u w:val="none"/>
        </w:rPr>
      </w:pPr>
      <w:r>
        <w:rPr>
          <w:b w:val="false"/>
          <w:bCs w:val="false"/>
          <w:sz w:val="28"/>
          <w:szCs w:val="24"/>
          <w:u w:val="none"/>
        </w:rPr>
        <w:t xml:space="preserve">No. </w:t>
      </w:r>
      <w:r>
        <w:rPr>
          <w:b w:val="false"/>
          <w:bCs w:val="false"/>
          <w:sz w:val="28"/>
          <w:szCs w:val="24"/>
          <w:u w:val="none"/>
        </w:rPr>
        <w:t>IT&amp;SDC/</w:t>
      </w:r>
      <w:r>
        <w:rPr>
          <w:b w:val="false"/>
          <w:bCs w:val="false"/>
          <w:sz w:val="28"/>
          <w:szCs w:val="24"/>
          <w:u w:val="none"/>
        </w:rPr>
        <w:t>Hardware/202</w:t>
      </w:r>
      <w:r>
        <w:rPr>
          <w:b w:val="false"/>
          <w:bCs w:val="false"/>
          <w:sz w:val="28"/>
          <w:szCs w:val="24"/>
          <w:u w:val="none"/>
        </w:rPr>
        <w:t>5</w:t>
      </w:r>
      <w:r>
        <w:rPr>
          <w:b w:val="false"/>
          <w:bCs w:val="false"/>
          <w:sz w:val="28"/>
          <w:szCs w:val="24"/>
          <w:u w:val="none"/>
        </w:rPr>
        <w:t>/</w:t>
      </w:r>
      <w:r>
        <w:rPr>
          <w:b w:val="false"/>
          <w:bCs w:val="false"/>
          <w:sz w:val="28"/>
          <w:szCs w:val="24"/>
          <w:u w:val="none"/>
        </w:rPr>
        <w:t>AI Server</w:t>
      </w:r>
      <w:r>
        <w:rPr>
          <w:b w:val="false"/>
          <w:bCs w:val="false"/>
          <w:sz w:val="28"/>
          <w:szCs w:val="24"/>
          <w:u w:val="none"/>
        </w:rPr>
        <w:tab/>
        <w:tab/>
        <w:tab/>
        <w:t xml:space="preserve">   </w:t>
        <w:tab/>
        <w:t xml:space="preserve">     Dated: </w:t>
      </w:r>
      <w:r>
        <w:rPr>
          <w:b w:val="false"/>
          <w:bCs w:val="false"/>
          <w:sz w:val="28"/>
          <w:szCs w:val="24"/>
          <w:u w:val="none"/>
        </w:rPr>
        <w:t>26</w:t>
      </w:r>
      <w:r>
        <w:rPr>
          <w:b w:val="false"/>
          <w:bCs w:val="false"/>
          <w:sz w:val="28"/>
          <w:szCs w:val="24"/>
          <w:u w:val="none"/>
        </w:rPr>
        <w:t>.</w:t>
      </w:r>
      <w:r>
        <w:rPr>
          <w:b w:val="false"/>
          <w:bCs w:val="false"/>
          <w:sz w:val="28"/>
          <w:szCs w:val="24"/>
          <w:u w:val="none"/>
        </w:rPr>
        <w:t>09</w:t>
      </w:r>
      <w:r>
        <w:rPr>
          <w:b w:val="false"/>
          <w:bCs w:val="false"/>
          <w:sz w:val="28"/>
          <w:szCs w:val="24"/>
          <w:u w:val="none"/>
        </w:rPr>
        <w:t>.2025</w:t>
      </w:r>
    </w:p>
    <w:p>
      <w:pPr>
        <w:pStyle w:val="Normal"/>
        <w:bidi w:val="0"/>
        <w:spacing w:before="0" w:after="0"/>
        <w:jc w:val="both"/>
        <w:rPr>
          <w:rFonts w:ascii="Liberation Serif" w:hAnsi="Liberation Serif"/>
          <w:b w:val="false"/>
          <w:bCs w:val="false"/>
          <w:sz w:val="28"/>
          <w:szCs w:val="24"/>
          <w:u w:val="single"/>
        </w:rPr>
      </w:pPr>
      <w:r>
        <w:rPr>
          <w:b w:val="false"/>
          <w:bCs w:val="false"/>
          <w:sz w:val="28"/>
          <w:szCs w:val="24"/>
          <w:u w:val="single"/>
        </w:rPr>
      </w:r>
    </w:p>
    <w:p>
      <w:pPr>
        <w:pStyle w:val="Normal"/>
        <w:bidi w:val="0"/>
        <w:jc w:val="center"/>
        <w:rPr>
          <w:rFonts w:ascii="Liberation Serif" w:hAnsi="Liberation Serif"/>
          <w:b/>
          <w:bCs/>
          <w:sz w:val="28"/>
          <w:szCs w:val="24"/>
          <w:u w:val="single"/>
        </w:rPr>
      </w:pPr>
      <w:r>
        <w:rPr>
          <w:b/>
          <w:bCs/>
          <w:sz w:val="28"/>
          <w:szCs w:val="24"/>
          <w:u w:val="single"/>
        </w:rPr>
        <w:t>OFFICE NOTE</w:t>
      </w:r>
    </w:p>
    <w:p>
      <w:pPr>
        <w:pStyle w:val="Normal"/>
        <w:bidi w:val="0"/>
        <w:spacing w:before="114" w:after="114"/>
        <w:jc w:val="center"/>
        <w:rPr>
          <w:rFonts w:ascii="Liberation Serif" w:hAnsi="Liberation Serif"/>
          <w:b/>
          <w:bCs/>
          <w:sz w:val="24"/>
          <w:szCs w:val="24"/>
          <w:u w:val="single"/>
        </w:rPr>
      </w:pPr>
      <w:r>
        <w:rPr>
          <w:b/>
          <w:bCs/>
          <w:sz w:val="24"/>
          <w:szCs w:val="24"/>
          <w:u w:val="single"/>
        </w:rPr>
      </w:r>
    </w:p>
    <w:p>
      <w:pPr>
        <w:pStyle w:val="BodyText"/>
        <w:bidi w:val="0"/>
        <w:jc w:val="both"/>
        <w:rPr>
          <w:rFonts w:ascii="Nimbus Roman No9 L" w:hAnsi="Nimbus Roman No9 L"/>
          <w:b w:val="false"/>
          <w:bCs w:val="false"/>
          <w:sz w:val="24"/>
          <w:szCs w:val="24"/>
          <w:u w:val="none"/>
        </w:rPr>
      </w:pPr>
      <w:r>
        <w:rPr>
          <w:rStyle w:val="Strong"/>
          <w:b w:val="false"/>
          <w:bCs w:val="false"/>
          <w:sz w:val="26"/>
          <w:szCs w:val="26"/>
          <w:u w:val="none"/>
        </w:rPr>
        <w:t>Subject</w:t>
      </w:r>
      <w:r>
        <w:rPr>
          <w:rStyle w:val="Strong"/>
          <w:sz w:val="26"/>
          <w:szCs w:val="26"/>
          <w:u w:val="none"/>
        </w:rPr>
        <w:t>:</w:t>
        <w:tab/>
      </w:r>
      <w:r>
        <w:rPr>
          <w:b w:val="false"/>
          <w:bCs w:val="false"/>
          <w:sz w:val="26"/>
          <w:szCs w:val="26"/>
          <w:u w:val="none"/>
        </w:rPr>
        <w:t>Proposal for Formation of Financial Bid Evaluation Committees –</w:t>
      </w:r>
      <w:r>
        <w:rPr>
          <w:b w:val="false"/>
          <w:bCs w:val="false"/>
          <w:sz w:val="26"/>
          <w:szCs w:val="26"/>
          <w:u w:val="none"/>
        </w:rPr>
        <w:t xml:space="preserve"> Reg.</w:t>
      </w:r>
      <w:r>
        <w:rPr>
          <w:b w:val="false"/>
          <w:bCs w:val="false"/>
          <w:sz w:val="26"/>
          <w:szCs w:val="26"/>
          <w:u w:val="none"/>
        </w:rPr>
        <w:br/>
      </w:r>
      <w:r>
        <w:rPr>
          <w:rStyle w:val="Strong"/>
          <w:b w:val="false"/>
          <w:bCs w:val="false"/>
          <w:sz w:val="26"/>
          <w:szCs w:val="26"/>
          <w:u w:val="none"/>
        </w:rPr>
        <w:t>Reference</w:t>
      </w:r>
      <w:r>
        <w:rPr>
          <w:rStyle w:val="Strong"/>
          <w:sz w:val="26"/>
          <w:szCs w:val="26"/>
          <w:u w:val="none"/>
        </w:rPr>
        <w:t>:</w:t>
        <w:tab/>
      </w:r>
      <w:r>
        <w:rPr>
          <w:b w:val="false"/>
          <w:bCs w:val="false"/>
          <w:sz w:val="26"/>
          <w:szCs w:val="26"/>
          <w:u w:val="none"/>
        </w:rPr>
        <w:t xml:space="preserve">Bid No. GEM/2025/B/6537732 dated 07.08.2025 and Bid Corrigendum No. </w:t>
        <w:tab/>
        <w:tab/>
        <w:tab/>
        <w:t>GEM/2025/B/6537732-C1</w:t>
      </w:r>
    </w:p>
    <w:p>
      <w:pPr>
        <w:pStyle w:val="BodyText"/>
        <w:pBdr/>
        <w:bidi w:val="0"/>
        <w:spacing w:before="0" w:after="0"/>
        <w:ind w:hanging="0" w:start="0" w:end="0"/>
        <w:jc w:val="both"/>
        <w:rPr>
          <w:rFonts w:ascii="Liberation Serif" w:hAnsi="Liberation Serif"/>
          <w:sz w:val="26"/>
          <w:szCs w:val="26"/>
        </w:rPr>
      </w:pPr>
      <w:r>
        <w:rPr>
          <w:sz w:val="26"/>
          <w:szCs w:val="26"/>
        </w:rPr>
      </w:r>
    </w:p>
    <w:p>
      <w:pPr>
        <w:pStyle w:val="BodyText"/>
        <w:pBdr/>
        <w:bidi w:val="0"/>
        <w:ind w:hanging="0" w:start="0" w:end="0"/>
        <w:jc w:val="both"/>
        <w:rPr>
          <w:rFonts w:ascii="Liberation Serif" w:hAnsi="Liberation Serif"/>
        </w:rPr>
      </w:pPr>
      <w:r>
        <w:rPr>
          <w:sz w:val="26"/>
          <w:szCs w:val="26"/>
        </w:rPr>
        <w:tab/>
        <w:t xml:space="preserve">In reference to the above-mentioned bid and its corrigendum published on the GeM portal for the procurement of an AI server, it is submitted that the technical bid </w:t>
      </w:r>
      <w:r>
        <w:rPr>
          <w:sz w:val="26"/>
          <w:szCs w:val="26"/>
        </w:rPr>
        <w:t>evaluation committee nominated vide this office Lr. No. No. IT&amp;SDC/Hardware/2025/AI Server dated: 26.08.2025, has submitted its report</w:t>
      </w:r>
      <w:r>
        <w:rPr>
          <w:sz w:val="26"/>
          <w:szCs w:val="26"/>
        </w:rPr>
        <w:t>.</w:t>
      </w:r>
    </w:p>
    <w:p>
      <w:pPr>
        <w:pStyle w:val="BodyText"/>
        <w:pBdr/>
        <w:bidi w:val="0"/>
        <w:ind w:hanging="0" w:start="0" w:end="0"/>
        <w:jc w:val="both"/>
        <w:rPr>
          <w:rFonts w:ascii="Liberation Serif" w:hAnsi="Liberation Serif"/>
        </w:rPr>
      </w:pPr>
      <w:r>
        <w:rPr>
          <w:sz w:val="26"/>
          <w:szCs w:val="26"/>
        </w:rPr>
        <w:tab/>
      </w:r>
      <w:r>
        <w:rPr>
          <w:sz w:val="26"/>
          <w:szCs w:val="26"/>
        </w:rPr>
        <w:t xml:space="preserve">Further, Financial bid will be open from 26.09.2025 and a financial bid evaluation committee needs to be nominated for the same. </w:t>
      </w:r>
      <w:r>
        <w:rPr>
          <w:sz w:val="26"/>
          <w:szCs w:val="26"/>
        </w:rPr>
        <w:t>The Financial Bid Evaluation Committee will evaluate the financial bids of those firms adjudged technically qualified and provide its recommendations accordingly.</w:t>
      </w:r>
    </w:p>
    <w:p>
      <w:pPr>
        <w:pStyle w:val="BodyText"/>
        <w:pBdr/>
        <w:bidi w:val="0"/>
        <w:ind w:hanging="0" w:start="0" w:end="0"/>
        <w:jc w:val="both"/>
        <w:rPr>
          <w:rFonts w:ascii="Liberation Serif" w:hAnsi="Liberation Serif"/>
          <w:sz w:val="26"/>
          <w:szCs w:val="26"/>
        </w:rPr>
      </w:pPr>
      <w:r>
        <w:rPr>
          <w:sz w:val="26"/>
          <w:szCs w:val="26"/>
        </w:rPr>
        <w:tab/>
        <w:t>The constitution of th</w:t>
      </w:r>
      <w:r>
        <w:rPr>
          <w:sz w:val="26"/>
          <w:szCs w:val="26"/>
        </w:rPr>
        <w:t>is</w:t>
      </w:r>
      <w:r>
        <w:rPr>
          <w:sz w:val="26"/>
          <w:szCs w:val="26"/>
        </w:rPr>
        <w:t xml:space="preserve"> committee is vital to ensure a transparent, fair, and rigorous evaluation process in accordance with applicable procurement rules and guidelines.</w:t>
      </w:r>
    </w:p>
    <w:p>
      <w:pPr>
        <w:pStyle w:val="BodyText"/>
        <w:pBdr/>
        <w:bidi w:val="0"/>
        <w:ind w:hanging="0" w:start="0" w:end="0"/>
        <w:jc w:val="both"/>
        <w:rPr>
          <w:rFonts w:ascii="Liberation Serif" w:hAnsi="Liberation Serif"/>
        </w:rPr>
      </w:pPr>
      <w:r>
        <w:rPr>
          <w:sz w:val="26"/>
          <w:szCs w:val="26"/>
        </w:rPr>
        <w:tab/>
        <w:t xml:space="preserve">In view of the </w:t>
      </w:r>
      <w:r>
        <w:rPr>
          <w:sz w:val="26"/>
          <w:szCs w:val="26"/>
        </w:rPr>
        <w:t>above</w:t>
      </w:r>
      <w:r>
        <w:rPr>
          <w:sz w:val="26"/>
          <w:szCs w:val="26"/>
        </w:rPr>
        <w:t>, approval is sought for the nomination of officials to constitute the Financial Bid Evaluation Committee.</w:t>
      </w:r>
    </w:p>
    <w:p>
      <w:pPr>
        <w:pStyle w:val="BodyText"/>
        <w:pBdr/>
        <w:bidi w:val="0"/>
        <w:spacing w:before="171" w:after="311"/>
        <w:ind w:hanging="0" w:start="0" w:end="0"/>
        <w:jc w:val="start"/>
        <w:rPr>
          <w:rFonts w:ascii="Liberation Serif" w:hAnsi="Liberation Serif"/>
        </w:rPr>
      </w:pPr>
      <w:r>
        <w:rPr>
          <w:sz w:val="26"/>
          <w:szCs w:val="26"/>
        </w:rPr>
        <w:tab/>
        <w:t>Submitted for approval, please.</w:t>
      </w:r>
      <w:r>
        <w:rPr/>
        <w:br/>
        <w:tab/>
        <w:tab/>
        <w:tab/>
        <w:tab/>
        <w:tab/>
        <w:tab/>
        <w:tab/>
        <w:tab/>
        <w:tab/>
        <w:tab/>
        <w:tab/>
      </w:r>
    </w:p>
    <w:p>
      <w:pPr>
        <w:pStyle w:val="BodyText"/>
        <w:pBdr/>
        <w:bidi w:val="0"/>
        <w:spacing w:before="171" w:after="311"/>
        <w:ind w:hanging="0" w:start="0" w:end="0"/>
        <w:jc w:val="start"/>
        <w:rPr>
          <w:rFonts w:ascii="Liberation Serif" w:hAnsi="Liberation Serif"/>
        </w:rPr>
      </w:pPr>
      <w:r>
        <w:rPr/>
        <w:tab/>
        <w:tab/>
        <w:tab/>
        <w:tab/>
        <w:tab/>
        <w:tab/>
        <w:tab/>
        <w:tab/>
        <w:tab/>
        <w:tab/>
        <w:tab/>
        <w:tab/>
      </w:r>
      <w:r>
        <w:rPr/>
        <w:t>AAO</w:t>
      </w:r>
    </w:p>
    <w:p>
      <w:pPr>
        <w:pStyle w:val="BodyText"/>
        <w:pBdr/>
        <w:bidi w:val="0"/>
        <w:spacing w:before="171" w:after="311"/>
        <w:ind w:hanging="0" w:start="0" w:end="0"/>
        <w:jc w:val="start"/>
        <w:rPr>
          <w:rFonts w:ascii="Liberation Serif" w:hAnsi="Liberation Serif"/>
        </w:rPr>
      </w:pPr>
      <w:r>
        <w:rPr/>
        <w:t>SAO</w:t>
      </w:r>
    </w:p>
    <w:p>
      <w:pPr>
        <w:pStyle w:val="BodyText"/>
        <w:pBdr/>
        <w:bidi w:val="0"/>
        <w:spacing w:before="0" w:after="0"/>
        <w:ind w:hanging="0" w:start="0" w:end="0"/>
        <w:jc w:val="start"/>
        <w:rPr>
          <w:rFonts w:ascii="Liberation Serif" w:hAnsi="Liberation Serif"/>
        </w:rPr>
      </w:pPr>
      <w:r>
        <w:rPr/>
      </w:r>
    </w:p>
    <w:p>
      <w:pPr>
        <w:pStyle w:val="BodyText"/>
        <w:pBdr/>
        <w:bidi w:val="0"/>
        <w:spacing w:before="171" w:after="311"/>
        <w:ind w:hanging="0" w:start="0" w:end="0"/>
        <w:jc w:val="start"/>
        <w:rPr>
          <w:rFonts w:ascii="Liberation Serif" w:hAnsi="Liberation Serif"/>
        </w:rPr>
      </w:pPr>
      <w:r>
        <w:rPr/>
        <w:t>JCDA</w:t>
      </w:r>
    </w:p>
    <w:p>
      <w:pPr>
        <w:pStyle w:val="BodyText"/>
        <w:pBdr/>
        <w:bidi w:val="0"/>
        <w:spacing w:before="171" w:after="311"/>
        <w:ind w:hanging="0" w:start="0" w:end="0"/>
        <w:jc w:val="start"/>
        <w:rPr>
          <w:rFonts w:ascii="Liberation Serif" w:hAnsi="Liberation Serif"/>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Nimbus Roman No9 L">
    <w:altName w:val="Times New Roman"/>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CJK SC" w:cs="Lohit Devanagari"/>
      <w:color w:val="auto"/>
      <w:kern w:val="2"/>
      <w:sz w:val="24"/>
      <w:szCs w:val="24"/>
      <w:lang w:val="en-IN" w:eastAsia="zh-CN" w:bidi="hi-IN"/>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jpeg"/><Relationship Id="rId4" Type="http://schemas.openxmlformats.org/officeDocument/2006/relationships/hyperlink" Target="mailto:itsdcsec-cda@nic.in" TargetMode="External"/><Relationship Id="rId5" Type="http://schemas.openxmlformats.org/officeDocument/2006/relationships/hyperlink" Target="mailto:itsdcsec-cda@nic.in" TargetMode="External"/><Relationship Id="rId6" Type="http://schemas.openxmlformats.org/officeDocument/2006/relationships/image" Target="media/image1.wmf"/><Relationship Id="rId7" Type="http://schemas.openxmlformats.org/officeDocument/2006/relationships/image" Target="media/image2.jpeg"/><Relationship Id="rId8" Type="http://schemas.openxmlformats.org/officeDocument/2006/relationships/hyperlink" Target="mailto:itsdcsec-cda@nic.in" TargetMode="External"/><Relationship Id="rId9" Type="http://schemas.openxmlformats.org/officeDocument/2006/relationships/hyperlink" Target="mailto:itsdcsec-cda@nic.in" TargetMode="Externa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82</TotalTime>
  <Application>LibreOffice/26.2.4.2$Windows_X86_64 LibreOffice_project/0229ac93fcf0d7cbc6376066c6f35021cef002dc</Application>
  <AppVersion>15.0000</AppVersion>
  <Pages>2</Pages>
  <Words>354</Words>
  <Characters>2177</Characters>
  <CharactersWithSpaces>2587</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2025-02-10T15:58:38Z</dcterms:created>
  <dc:creator/>
  <dc:description/>
  <dc:language>en-IN</dc:language>
  <cp:lastModifiedBy/>
  <cp:lastPrinted>2025-02-10T16:33:14Z</cp:lastPrinted>
  <dcterms:modified xsi:type="dcterms:W3CDTF">2025-09-26T15:31:36Z</dcterms:modified>
  <cp:revision>14</cp:revision>
  <dc:subject/>
  <dc:title/>
</cp:coreProperties>
</file>