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600" w:lineRule="exact"/>
      </w:pPr>
    </w:p>
    <w:p>
      <w:pPr>
        <w:spacing w:after="80"/>
        <w:jc w:val="center"/>
      </w:pPr>
      <w:r>
        <w:rPr>
          <w:b/>
          <w:bCs/>
          <w:color w:val="000000" w:themeColor="text1"/>
          <w:sz w:val="48"/>
          <w:szCs w:val="48"/>
        </w:rPr>
        <w:t>Feature System &amp; Domain Model</w:t>
      </w:r>
    </w:p>
    <w:p>
      <w:pPr>
        <w:spacing w:after="160"/>
        <w:jc w:val="center"/>
      </w:pPr>
      <w:r>
        <w:rPr>
          <w:b/>
          <w:bCs/>
          <w:color w:val="000000" w:themeColor="text1"/>
          <w:sz w:val="32"/>
          <w:szCs w:val="32"/>
        </w:rPr>
        <w:t>Testing Strategy</w:t>
      </w:r>
    </w:p>
    <w:p>
      <w:pPr>
        <w:pBdr>
          <w:bottom w:val="single" w:sz="6" w:space="1" w:color="1F4E79"/>
        </w:pBdr>
        <w:spacing w:before="120" w:after="120"/>
      </w:pPr>
    </w:p>
    <w:p>
      <w:pPr>
        <w:spacing w:before="40" w:after="240"/>
        <w:jc w:val="center"/>
      </w:pPr>
      <w:r>
        <w:rPr>
          <w:i/>
          <w:iCs/>
          <w:sz w:val="24"/>
          <w:szCs w:val="24"/>
        </w:rPr>
        <w:t>Sub Team 5 – Apaties II</w:t>
      </w:r>
    </w:p>
    <w:p>
      <w:pPr>
        <w:pStyle w:val="Heading1"/>
      </w:pPr>
      <w:r>
        <w:t>Overview</w:t>
      </w:r>
    </w:p>
    <w:p>
      <w:pPr>
        <w:pBdr>
          <w:bottom w:val="single" w:sz="6" w:space="1" w:color="BDD7EE"/>
        </w:pBdr>
        <w:spacing w:before="0" w:after="160"/>
      </w:pPr>
    </w:p>
    <w:p>
      <w:pPr>
        <w:spacing w:after="120"/>
        <w:rPr>
          <w:rFonts w:asciiTheme="minorHAnsi" w:hAnsiTheme="minorHAnsi"/>
        </w:rPr>
      </w:pPr>
      <w:r>
        <w:rPr>
          <w:rFonts w:asciiTheme="minorHAnsi" w:hAnsiTheme="minorHAnsi"/>
        </w:rPr>
        <w:t xml:space="preserve">The Feature domain model lives under </w:t>
      </w:r>
      <w:r>
        <w:rPr>
          <w:rFonts w:asciiTheme="minorHAnsi" w:hAnsiTheme="minorHAnsi"/>
          <w:b/>
          <w:bCs/>
        </w:rPr>
        <w:t>Assets/Scripts/FeatureData</w:t>
      </w:r>
      <w:r>
        <w:rPr>
          <w:rFonts w:asciiTheme="minorHAnsi" w:hAnsiTheme="minorHAnsi"/>
        </w:rPr>
        <w:t xml:space="preserve"> and covers the Feature, FeatureSet, FeatureStatistics and VoTableExportService types. We test it through a dedicated NUnit project, SubTeam5_Tests, that runs on its own with a plain </w:t>
      </w:r>
      <w:r>
        <w:rPr>
          <w:rFonts w:asciiTheme="minorHAnsi" w:hAnsiTheme="minorHAnsi"/>
          <w:b/>
          <w:bCs/>
        </w:rPr>
        <w:t>dotnet test</w:t>
      </w:r>
      <w:r>
        <w:rPr>
          <w:rFonts w:asciiTheme="minorHAnsi" w:hAnsiTheme="minorHAnsi"/>
        </w:rPr>
        <w:t xml:space="preserve"> – no Unity editor and no Play Mode. The whole suite is 31 tests and finishes in about a tenth of a second, which keeps it cheap enough to run on every change.</w:t>
      </w:r>
    </w:p>
    <w:p>
      <w:pPr>
        <w:spacing w:after="120"/>
        <w:rPr>
          <w:rFonts w:asciiTheme="minorHAnsi" w:hAnsiTheme="minorHAnsi"/>
        </w:rPr>
      </w:pPr>
      <w:r>
        <w:rPr>
          <w:rFonts w:asciiTheme="minorHAnsi" w:hAnsiTheme="minorHAnsi"/>
        </w:rPr>
        <w:t>We kept the suite small on purpose and split it across three files. Each is written in a different style, because each one answers a different question.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540"/>
        <w:gridCol w:w="5200"/>
      </w:tblGrid>
      <w:tr>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r>
              <w:rPr>
                <w:rFonts w:asciiTheme="minorHAnsi" w:hAnsiTheme="minorHAnsi"/>
                <w:b/>
                <w:bCs/>
                <w:color w:val="1F4E79"/>
                <w:sz w:val="20"/>
                <w:szCs w:val="20"/>
              </w:rPr>
              <w:t>Level</w:t>
            </w:r>
          </w:p>
        </w:tc>
        <w:tc>
          <w:tcPr>
            <w:tcW w:w="254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r>
              <w:rPr>
                <w:rFonts w:asciiTheme="minorHAnsi" w:hAnsiTheme="minorHAnsi"/>
                <w:b/>
                <w:bCs/>
                <w:color w:val="1F4E79"/>
                <w:sz w:val="20"/>
                <w:szCs w:val="20"/>
              </w:rPr>
              <w:t>Source file</w:t>
            </w:r>
          </w:p>
        </w:tc>
        <w:tc>
          <w:tcPr>
            <w:tcW w:w="5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r>
              <w:rPr>
                <w:rFonts w:asciiTheme="minorHAnsi" w:hAnsiTheme="minorHAnsi"/>
                <w:b/>
                <w:bCs/>
                <w:color w:val="2E75B6"/>
                <w:sz w:val="20"/>
                <w:szCs w:val="20"/>
              </w:rPr>
              <w:t>What it verifies</w:t>
            </w:r>
          </w:p>
        </w:tc>
      </w:tr>
      <w:tr>
        <w:tc>
          <w:tcPr>
            <w:tcW w:w="234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
              <w:rPr>
                <w:rFonts w:asciiTheme="minorHAnsi" w:hAnsiTheme="minorHAnsi"/>
                <w:b/>
                <w:bCs/>
                <w:sz w:val="20"/>
                <w:szCs w:val="20"/>
              </w:rPr>
              <w:t>Unit (example-based)</w:t>
            </w:r>
          </w:p>
        </w:tc>
        <w:tc>
          <w:tcPr>
            <w:tcW w:w="254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
              <w:rPr>
                <w:rFonts w:asciiTheme="minorHAnsi" w:hAnsiTheme="minorHAnsi"/>
                <w:sz w:val="20"/>
                <w:szCs w:val="20"/>
              </w:rPr>
              <w:t>UnitTest1.cs</w:t>
            </w:r>
          </w:p>
        </w:tc>
        <w:tc>
          <w:tcPr>
            <w:tcW w:w="5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
              <w:rPr>
                <w:rFonts w:asciiTheme="minorHAnsi" w:hAnsiTheme="minorHAnsi"/>
                <w:sz w:val="20"/>
                <w:szCs w:val="20"/>
              </w:rPr>
              <w:t>The geometry of a single Feature: Center, Size and ContainsPoint.</w:t>
            </w:r>
          </w:p>
        </w:tc>
      </w:tr>
      <w:tr>
        <w:tc>
          <w:tcPr>
            <w:tcW w:w="234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
              <w:rPr>
                <w:rFonts w:asciiTheme="minorHAnsi" w:hAnsiTheme="minorHAnsi"/>
                <w:b/>
                <w:bCs/>
                <w:sz w:val="20"/>
                <w:szCs w:val="20"/>
              </w:rPr>
              <w:t>Property-based</w:t>
            </w:r>
          </w:p>
        </w:tc>
        <w:tc>
          <w:tcPr>
            <w:tcW w:w="254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
              <w:rPr>
                <w:rFonts w:asciiTheme="minorHAnsi" w:hAnsiTheme="minorHAnsi"/>
                <w:sz w:val="20"/>
                <w:szCs w:val="20"/>
              </w:rPr>
              <w:t>StatisticsTests.cs</w:t>
            </w:r>
          </w:p>
        </w:tc>
        <w:tc>
          <w:tcPr>
            <w:tcW w:w="5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
              <w:rPr>
                <w:rFonts w:asciiTheme="minorHAnsi" w:hAnsiTheme="minorHAnsi"/>
                <w:sz w:val="20"/>
                <w:szCs w:val="20"/>
              </w:rPr>
              <w:t>Domain invariants on FeatureStatistics, checked over generated inputs.</w:t>
            </w:r>
          </w:p>
        </w:tc>
      </w:tr>
      <w:tr>
        <w:tc>
          <w:tcPr>
            <w:tcW w:w="234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
              <w:rPr>
                <w:rFonts w:asciiTheme="minorHAnsi" w:hAnsiTheme="minorHAnsi"/>
                <w:b/>
                <w:bCs/>
                <w:sz w:val="20"/>
                <w:szCs w:val="20"/>
              </w:rPr>
              <w:t>Scenario (integration)</w:t>
            </w:r>
          </w:p>
        </w:tc>
        <w:tc>
          <w:tcPr>
            <w:tcW w:w="254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
              <w:rPr>
                <w:rFonts w:asciiTheme="minorHAnsi" w:hAnsiTheme="minorHAnsi"/>
                <w:sz w:val="20"/>
                <w:szCs w:val="20"/>
              </w:rPr>
              <w:t>ScenarioTests.cs</w:t>
            </w:r>
          </w:p>
        </w:tc>
        <w:tc>
          <w:tcPr>
            <w:tcW w:w="5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
              <w:rPr>
                <w:rFonts w:asciiTheme="minorHAnsi" w:hAnsiTheme="minorHAnsi"/>
                <w:sz w:val="20"/>
                <w:szCs w:val="20"/>
              </w:rPr>
              <w:t>The mask → edit → export workflow, run end to end.</w:t>
            </w:r>
          </w:p>
        </w:tc>
      </w:tr>
    </w:tbl>
    <w:p>
      <w:pPr>
        <w:spacing w:before="160" w:after="120"/>
        <w:rPr>
          <w:rFonts w:asciiTheme="minorHAnsi" w:hAnsiTheme="minorHAnsi"/>
        </w:rPr>
      </w:pPr>
      <w:r>
        <w:rPr>
          <w:rFonts w:asciiTheme="minorHAnsi" w:hAnsiTheme="minorHAnsi"/>
        </w:rPr>
        <w:t>Taken together these form a small test pyramid: a base of fast example checks, a middle layer of generated property tests, and a single integration test that confirms the parts still fit once they are wired up.</w:t>
      </w:r>
    </w:p>
    <w:p>
      <w:pPr>
        <w:pStyle w:val="Heading1"/>
      </w:pPr>
      <w:r>
        <w:t>Test Architecture</w:t>
      </w:r>
    </w:p>
    <w:p>
      <w:pPr>
        <w:pBdr>
          <w:bottom w:val="single" w:sz="6" w:space="1" w:color="BDD7EE"/>
        </w:pBdr>
        <w:spacing w:before="0" w:after="160"/>
      </w:pPr>
    </w:p>
    <w:p>
      <w:pPr>
        <w:pStyle w:val="Heading2"/>
      </w:pPr>
      <w:r>
        <w:t>Running against live source</w:t>
      </w:r>
    </w:p>
    <w:p>
      <w:pPr>
        <w:spacing w:after="120"/>
        <w:rPr>
          <w:rFonts w:asciiTheme="minorHAnsi" w:hAnsiTheme="minorHAnsi"/>
        </w:rPr>
      </w:pPr>
      <w:r>
        <w:rPr>
          <w:rFonts w:asciiTheme="minorHAnsi" w:hAnsiTheme="minorHAnsi"/>
        </w:rPr>
        <w:t xml:space="preserve">The test project does not reference a compiled Unity assembly. The domain files are pulled straight into the build with </w:t>
      </w:r>
      <w:r>
        <w:rPr>
          <w:rFonts w:asciiTheme="minorHAnsi" w:hAnsiTheme="minorHAnsi"/>
          <w:b/>
          <w:bCs/>
        </w:rPr>
        <w:t>&lt;Compile Include=…&gt;</w:t>
      </w:r>
      <w:r>
        <w:rPr>
          <w:rFonts w:asciiTheme="minorHAnsi" w:hAnsiTheme="minorHAnsi"/>
        </w:rPr>
        <w:t xml:space="preserve"> entries in the .csproj. That only works because the domain layer was written to be Unity-free in the first place: Vec3 is a small stand-in for UnityEngine.Vector3, and none of these classes touch UnityEngine. The native AstTool coordinate library stays behind the ICoordinateTransformer interface and is never loaded during a test.</w:t>
      </w:r>
    </w:p>
    <w:p>
      <w:pPr>
        <w:spacing w:after="120"/>
        <w:rPr>
          <w:rFonts w:asciiTheme="minorHAnsi" w:hAnsiTheme="minorHAnsi"/>
        </w:rPr>
      </w:pPr>
      <w:r>
        <w:rPr>
          <w:rFonts w:asciiTheme="minorHAnsi" w:hAnsiTheme="minorHAnsi"/>
        </w:rPr>
        <w:t>The payoff is fast feedback. Every run compiles against the current source, so a change in Feature.cs is exercised on the next run with nothing to rebuild or publish from Unity. The earlier refactor that lifted these types out of the MonoBehaviour layer is what makes this possible.</w:t>
      </w:r>
    </w:p>
    <w:p>
      <w:pPr>
        <w:pStyle w:val="Heading2"/>
      </w:pPr>
      <w:r>
        <w:t>Unit tests: geometry</w:t>
      </w:r>
    </w:p>
    <w:p>
      <w:pPr>
        <w:spacing w:after="120"/>
        <w:rPr>
          <w:rFonts w:asciiTheme="minorHAnsi" w:hAnsiTheme="minorHAnsi"/>
        </w:rPr>
      </w:pPr>
      <w:r>
        <w:rPr>
          <w:rFonts w:asciiTheme="minorHAnsi" w:hAnsiTheme="minorHAnsi"/>
        </w:rPr>
        <w:t>FeatureTests pins down the geometry of a single feature with NUnit [TestCase] rows over Center, Size and ContainsPoint. The cases are picked, not padded out: a one-voxel box, negative coordinates, and different extents on each axis – the places where off-by-one and axis-swap mistakes tend to hide. Each assertion carries a comment naming the bug it guards, so the Size rows all fail together if the +1 voxel pad is ever dropped. Because Center and Size are recomputed on every read rather than cached, the tests really do exercise the formulas and not some stored value.</w:t>
      </w:r>
    </w:p>
    <w:p>
      <w:pPr>
        <w:pStyle w:val="Heading2"/>
      </w:pPr>
      <w:r>
        <w:t>Property-based tests: invariants</w:t>
      </w:r>
    </w:p>
    <w:p>
      <w:pPr>
        <w:spacing w:after="120"/>
        <w:rPr>
          <w:rFonts w:asciiTheme="minorHAnsi" w:hAnsiTheme="minorHAnsi"/>
        </w:rPr>
      </w:pPr>
      <w:r>
        <w:rPr>
          <w:rFonts w:asciiTheme="minorHAnsi" w:hAnsiTheme="minorHAnsi"/>
        </w:rPr>
        <w:t>FeatureStatisticsTests uses FsCheck to check three invariants over roughly a hundred generated inputs each: the flux-weighted centroid stays inside the bounding box, observed flux is never negative, and the W20 line width is at least the W50 width. The generators are shaped so the inputs stay valid and exact in floating point – origins are reduced into a small range and extents kept to [1, 500], so midpoints stay representable and a box never collapses. Each property is backed by a few hand-written counterexamples, such as an inverted ordering or an out-of-range point on each axis. Those are what stop a property from passing against an implementation that just returns true.</w:t>
      </w:r>
    </w:p>
    <w:p>
      <w:pPr>
        <w:pStyle w:val="Heading2"/>
      </w:pPr>
      <w:r>
        <w:t>Scenario test: end to end</w:t>
      </w:r>
    </w:p>
    <w:p>
      <w:pPr>
        <w:spacing w:after="120"/>
        <w:rPr>
          <w:rFonts w:asciiTheme="minorHAnsi" w:hAnsiTheme="minorHAnsi"/>
        </w:rPr>
      </w:pPr>
      <w:r>
        <w:rPr>
          <w:rFonts w:asciiTheme="minorHAnsi" w:hAnsiTheme="minorHAnsi"/>
        </w:rPr>
        <w:t>One narrative test walks a mask through the whole workflow: build a Mask FeatureSet, add features, edit one, then export to VOTable. It checks behaviour rather than stored values. A probe point that started inside a feature ends up outside once x_min moves, the dirty-notification event fires with the right index, and the neighbouring features are left alone. The real VoTableExportService runs throughout; the only stand-in is an identity coordinate transformer, which drops the native DLL and keeps the output deterministic. The XML is then parsed with LINQ-to-XML and checked by structure – three rows, sixteen columns, and the edited values landing on the feature that changed.</w:t>
      </w:r>
    </w:p>
    <w:p>
      <w:pPr>
        <w:pStyle w:val="Heading1"/>
      </w:pPr>
      <w:r>
        <w:t>Coverage, Gaps and Next Steps</w:t>
      </w:r>
    </w:p>
    <w:p>
      <w:pPr>
        <w:pBdr>
          <w:bottom w:val="single" w:sz="6" w:space="1" w:color="BDD7EE"/>
        </w:pBdr>
        <w:spacing w:before="0" w:after="160"/>
      </w:pPr>
    </w:p>
    <w:p>
      <w:pPr>
        <w:spacing w:after="120"/>
        <w:rPr>
          <w:rFonts w:asciiTheme="minorHAnsi" w:hAnsiTheme="minorHAnsi"/>
        </w:rPr>
      </w:pPr>
      <w:r>
        <w:rPr>
          <w:rFonts w:asciiTheme="minorHAnsi" w:hAnsiTheme="minorHAnsi"/>
        </w:rPr>
        <w:t>Coverage is strongest where the logic is: Feature geometry (Center, Size, ContainsPoint, SetBounds and the dirty event it raises), all three FeatureStatistics invariants, FeatureSet.Add with its parent wiring, and the happy-path VOTable export.</w:t>
      </w:r>
    </w:p>
    <w:p>
      <w:pPr>
        <w:spacing w:after="120"/>
        <w:rPr>
          <w:rFonts w:asciiTheme="minorHAnsi" w:hAnsiTheme="minorHAnsi"/>
        </w:rPr>
      </w:pPr>
      <w:r>
        <w:rPr>
          <w:rFonts w:asciiTheme="minorHAnsi" w:hAnsiTheme="minorHAnsi"/>
        </w:rPr>
        <w:t>Most of the gaps are deliberate. The thin FeatureSet wrappers – Remove, Clear and the visibility helpers – together with the argument-null guards are left untested, on the view that trivial pass-through code is not worth a test of its own. A few are harder to defend. Remove and Clear also unwire the parent reference and raise the “all dirty” event, which is real behaviour; the Center and Size setters do actual arithmetic; and the exporter’s unit conversions go unchecked because the identity transformer cancels them out. There is also no coverage report yet, so for now those gaps are only visible to someone reading the tests.</w:t>
      </w:r>
    </w:p>
    <w:p>
      <w:pPr>
        <w:spacing w:after="80"/>
        <w:rPr>
          <w:rFonts w:asciiTheme="minorHAnsi" w:hAnsiTheme="minorHAnsi"/>
        </w:rPr>
      </w:pPr>
      <w:r>
        <w:rPr>
          <w:rFonts w:asciiTheme="minorHAnsi" w:hAnsiTheme="minorHAnsi"/>
        </w:rPr>
        <w:t>Planned work, roughly in priority order:</w:t>
      </w:r>
    </w:p>
    <w:p>
      <w:pPr>
        <w:pStyle w:val="ListParagraph"/>
        <w:numPr>
          <w:ilvl w:val="0"/>
          <w:numId w:val="2"/>
        </w:numPr>
        <w:spacing w:before="20" w:after="40"/>
        <w:rPr>
          <w:rFonts w:asciiTheme="minorHAnsi" w:hAnsiTheme="minorHAnsi"/>
        </w:rPr>
      </w:pPr>
      <w:r>
        <w:rPr>
          <w:rFonts w:asciiTheme="minorHAnsi" w:hAnsiTheme="minorHAnsi"/>
        </w:rPr>
        <w:t>Cover Remove, Clear and the visibility helpers, including the –1 “all dirty” event.</w:t>
      </w:r>
    </w:p>
    <w:p>
      <w:pPr>
        <w:pStyle w:val="ListParagraph"/>
        <w:numPr>
          <w:ilvl w:val="0"/>
          <w:numId w:val="2"/>
        </w:numPr>
        <w:spacing w:before="20" w:after="40"/>
        <w:rPr>
          <w:rFonts w:asciiTheme="minorHAnsi" w:hAnsiTheme="minorHAnsi"/>
        </w:rPr>
      </w:pPr>
      <w:r>
        <w:rPr>
          <w:rFonts w:asciiTheme="minorHAnsi" w:hAnsiTheme="minorHAnsi"/>
        </w:rPr>
        <w:t>Assert the argument-null guards on the constructor, Add and Export.</w:t>
      </w:r>
    </w:p>
    <w:p>
      <w:pPr>
        <w:pStyle w:val="ListParagraph"/>
        <w:numPr>
          <w:ilvl w:val="0"/>
          <w:numId w:val="2"/>
        </w:numPr>
        <w:spacing w:before="20" w:after="40"/>
        <w:rPr>
          <w:rFonts w:asciiTheme="minorHAnsi" w:hAnsiTheme="minorHAnsi"/>
        </w:rPr>
      </w:pPr>
      <w:r>
        <w:rPr>
          <w:rFonts w:asciiTheme="minorHAnsi" w:hAnsiTheme="minorHAnsi"/>
        </w:rPr>
        <w:t>Test the Center and Size setters and IsOutsideVolume, which carry real boundary logic.</w:t>
      </w:r>
    </w:p>
    <w:p>
      <w:pPr>
        <w:pStyle w:val="ListParagraph"/>
        <w:numPr>
          <w:ilvl w:val="0"/>
          <w:numId w:val="2"/>
        </w:numPr>
        <w:spacing w:before="20" w:after="40"/>
        <w:rPr>
          <w:rFonts w:asciiTheme="minorHAnsi" w:hAnsiTheme="minorHAnsi"/>
        </w:rPr>
      </w:pPr>
      <w:r>
        <w:rPr>
          <w:rFonts w:asciiTheme="minorHAnsi" w:hAnsiTheme="minorHAnsi"/>
        </w:rPr>
        <w:t>Feed the exporter a non-identity transformer so the ra/dec/z conversions are actually checked.</w:t>
      </w:r>
    </w:p>
    <w:p>
      <w:pPr>
        <w:pStyle w:val="ListParagraph"/>
        <w:numPr>
          <w:ilvl w:val="0"/>
          <w:numId w:val="2"/>
        </w:numPr>
        <w:spacing w:before="20" w:after="40"/>
        <w:rPr>
          <w:rFonts w:asciiTheme="minorHAnsi" w:hAnsiTheme="minorHAnsi"/>
        </w:rPr>
      </w:pPr>
      <w:r>
        <w:rPr>
          <w:rFonts w:asciiTheme="minorHAnsi" w:hAnsiTheme="minorHAnsi"/>
        </w:rPr>
        <w:t>Wire coverlet into CI with a published report and a minimum threshold, and run dotnet test on every push.</w:t>
      </w:r>
    </w:p>
    <w:sectPr w:rsidR="00B23DA4" w:rsidRPr="007E6B91" w:rsidSect="007E6B91">
      <w:headerReference w:type="default" r:id="rId27"/>
      <w:footerReference w:type="default" r:id="rId28"/>
      <w:pgSz w:w="12240" w:h="15840"/>
      <w:pgMar w:top="1080" w:right="1080" w:bottom="1080" w:left="1080" w:header="708"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AC369" w14:textId="77777777" w:rsidR="00581980" w:rsidRDefault="00581980">
      <w:r>
        <w:separator/>
      </w:r>
    </w:p>
  </w:endnote>
  <w:endnote w:type="continuationSeparator" w:id="0">
    <w:p w14:paraId="78F9B548" w14:textId="77777777" w:rsidR="00581980" w:rsidRDefault="00581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A8CA9" w14:textId="476ACAE9" w:rsidR="000A10C2" w:rsidRPr="007E6B91" w:rsidRDefault="007E6B91">
    <w:pPr>
      <w:pBdr>
        <w:top w:val="single" w:sz="4" w:space="1" w:color="BDD7EE"/>
      </w:pBdr>
      <w:tabs>
        <w:tab w:val="right" w:pos="9026"/>
      </w:tabs>
      <w:spacing w:before="80"/>
      <w:rPr>
        <w:color w:val="000000" w:themeColor="text1"/>
      </w:rPr>
    </w:pPr>
    <w:r>
      <w:rPr>
        <w:noProof/>
        <w:color w:val="000000" w:themeColor="text1"/>
        <w:sz w:val="16"/>
        <w:szCs w:val="16"/>
      </w:rPr>
      <w:drawing>
        <wp:anchor distT="0" distB="0" distL="114300" distR="114300" simplePos="0" relativeHeight="251659264" behindDoc="0" locked="0" layoutInCell="1" allowOverlap="1" wp14:anchorId="66F715BC" wp14:editId="78371D00">
          <wp:simplePos x="0" y="0"/>
          <wp:positionH relativeFrom="column">
            <wp:posOffset>88323</wp:posOffset>
          </wp:positionH>
          <wp:positionV relativeFrom="paragraph">
            <wp:posOffset>111615</wp:posOffset>
          </wp:positionV>
          <wp:extent cx="264968" cy="246774"/>
          <wp:effectExtent l="0" t="0" r="1905" b="0"/>
          <wp:wrapNone/>
          <wp:docPr id="57227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70470" name="Picture 572270470"/>
                  <pic:cNvPicPr/>
                </pic:nvPicPr>
                <pic:blipFill>
                  <a:blip r:embed="rId1">
                    <a:extLst>
                      <a:ext uri="{28A0092B-C50C-407E-A947-70E740481C1C}">
                        <a14:useLocalDpi xmlns:a14="http://schemas.microsoft.com/office/drawing/2010/main" val="0"/>
                      </a:ext>
                    </a:extLst>
                  </a:blip>
                  <a:stretch>
                    <a:fillRect/>
                  </a:stretch>
                </pic:blipFill>
                <pic:spPr>
                  <a:xfrm>
                    <a:off x="0" y="0"/>
                    <a:ext cx="268224" cy="249807"/>
                  </a:xfrm>
                  <a:prstGeom prst="rect">
                    <a:avLst/>
                  </a:prstGeom>
                </pic:spPr>
              </pic:pic>
            </a:graphicData>
          </a:graphic>
          <wp14:sizeRelH relativeFrom="margin">
            <wp14:pctWidth>0</wp14:pctWidth>
          </wp14:sizeRelH>
          <wp14:sizeRelV relativeFrom="margin">
            <wp14:pctHeight>0</wp14:pctHeight>
          </wp14:sizeRelV>
        </wp:anchor>
      </w:drawing>
    </w:r>
    <w:r w:rsidR="00000000" w:rsidRPr="007E6B91">
      <w:rPr>
        <w:color w:val="000000" w:themeColor="text1"/>
        <w:sz w:val="16"/>
        <w:szCs w:val="16"/>
      </w:rPr>
      <w:tab/>
    </w:r>
    <w:r w:rsidR="00000000" w:rsidRPr="007E6B91">
      <w:rPr>
        <w:color w:val="000000" w:themeColor="text1"/>
        <w:sz w:val="16"/>
        <w:szCs w:val="16"/>
      </w:rPr>
      <w:t xml:space="preserve">Page </w:t>
    </w:r>
    <w:r w:rsidR="00000000" w:rsidRPr="007E6B91">
      <w:rPr>
        <w:color w:val="000000" w:themeColor="text1"/>
        <w:sz w:val="16"/>
        <w:szCs w:val="16"/>
      </w:rPr>
      <w:fldChar w:fldCharType="begin"/>
    </w:r>
    <w:r w:rsidR="00000000" w:rsidRPr="007E6B91">
      <w:rPr>
        <w:color w:val="000000" w:themeColor="text1"/>
        <w:sz w:val="16"/>
        <w:szCs w:val="16"/>
      </w:rPr>
      <w:instrText>PAGE</w:instrText>
    </w:r>
    <w:r w:rsidR="00000000" w:rsidRPr="007E6B91">
      <w:rPr>
        <w:color w:val="000000" w:themeColor="text1"/>
        <w:sz w:val="16"/>
        <w:szCs w:val="16"/>
      </w:rPr>
      <w:fldChar w:fldCharType="separate"/>
    </w:r>
    <w:r w:rsidRPr="007E6B91">
      <w:rPr>
        <w:noProof/>
        <w:color w:val="000000" w:themeColor="text1"/>
        <w:sz w:val="16"/>
        <w:szCs w:val="16"/>
      </w:rPr>
      <w:t>1</w:t>
    </w:r>
    <w:r w:rsidR="00000000" w:rsidRPr="007E6B91">
      <w:rPr>
        <w:color w:val="000000" w:themeColor="text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37876" w14:textId="77777777" w:rsidR="00581980" w:rsidRDefault="00581980">
      <w:r>
        <w:separator/>
      </w:r>
    </w:p>
  </w:footnote>
  <w:footnote w:type="continuationSeparator" w:id="0">
    <w:p w14:paraId="6086151A" w14:textId="77777777" w:rsidR="00581980" w:rsidRDefault="005819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4684D" w14:textId="77777777" w:rsidR="000A10C2" w:rsidRPr="007E6B91" w:rsidRDefault="00000000">
    <w:pPr>
      <w:pBdr>
        <w:bottom w:val="single" w:sz="4" w:space="1" w:color="2E75B6"/>
      </w:pBdr>
      <w:tabs>
        <w:tab w:val="right" w:pos="9026"/>
      </w:tabs>
      <w:spacing w:after="80"/>
      <w:rPr>
        <w:rFonts w:asciiTheme="majorHAnsi" w:hAnsiTheme="majorHAnsi"/>
        <w:color w:val="000000" w:themeColor="text1"/>
      </w:rPr>
    </w:pPr>
    <w:r w:rsidRPr="007E6B91">
      <w:rPr>
        <w:rFonts w:asciiTheme="majorHAnsi" w:hAnsiTheme="majorHAnsi"/>
        <w:color w:val="000000" w:themeColor="text1"/>
        <w:sz w:val="18"/>
        <w:szCs w:val="18"/>
      </w:rPr>
      <w:t>Feature System &amp; Domain Model – Testing Strategy</w:t>
    </w:r>
    <w:r w:rsidRPr="007E6B91">
      <w:rPr>
        <w:rFonts w:asciiTheme="majorHAnsi" w:hAnsiTheme="majorHAnsi"/>
        <w:i/>
        <w:iCs/>
        <w:color w:val="000000" w:themeColor="text1"/>
        <w:sz w:val="18"/>
        <w:szCs w:val="18"/>
      </w:rPr>
      <w:tab/>
      <w:t>Sub Team 5 – Apaties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839F6"/>
    <w:multiLevelType w:val="hybridMultilevel"/>
    <w:tmpl w:val="9FB2D600"/>
    <w:lvl w:ilvl="0" w:tplc="3F4839AE">
      <w:start w:val="1"/>
      <w:numFmt w:val="bullet"/>
      <w:lvlText w:val="•"/>
      <w:lvlJc w:val="left"/>
      <w:pPr>
        <w:ind w:left="540" w:hanging="260"/>
      </w:pPr>
    </w:lvl>
    <w:lvl w:ilvl="1" w:tplc="27CC3D94">
      <w:start w:val="1"/>
      <w:numFmt w:val="bullet"/>
      <w:lvlText w:val="◦"/>
      <w:lvlJc w:val="left"/>
      <w:pPr>
        <w:ind w:left="900" w:hanging="260"/>
      </w:pPr>
    </w:lvl>
    <w:lvl w:ilvl="2" w:tplc="C8AE65C2">
      <w:numFmt w:val="decimal"/>
      <w:lvlText w:val=""/>
      <w:lvlJc w:val="left"/>
    </w:lvl>
    <w:lvl w:ilvl="3" w:tplc="1820F09C">
      <w:numFmt w:val="decimal"/>
      <w:lvlText w:val=""/>
      <w:lvlJc w:val="left"/>
    </w:lvl>
    <w:lvl w:ilvl="4" w:tplc="1C0A3468">
      <w:numFmt w:val="decimal"/>
      <w:lvlText w:val=""/>
      <w:lvlJc w:val="left"/>
    </w:lvl>
    <w:lvl w:ilvl="5" w:tplc="CBE4A634">
      <w:numFmt w:val="decimal"/>
      <w:lvlText w:val=""/>
      <w:lvlJc w:val="left"/>
    </w:lvl>
    <w:lvl w:ilvl="6" w:tplc="8A60E8A8">
      <w:numFmt w:val="decimal"/>
      <w:lvlText w:val=""/>
      <w:lvlJc w:val="left"/>
    </w:lvl>
    <w:lvl w:ilvl="7" w:tplc="F1B0B356">
      <w:numFmt w:val="decimal"/>
      <w:lvlText w:val=""/>
      <w:lvlJc w:val="left"/>
    </w:lvl>
    <w:lvl w:ilvl="8" w:tplc="8264A7CE">
      <w:numFmt w:val="decimal"/>
      <w:lvlText w:val=""/>
      <w:lvlJc w:val="left"/>
    </w:lvl>
  </w:abstractNum>
  <w:abstractNum w:abstractNumId="1" w15:restartNumberingAfterBreak="0">
    <w:nsid w:val="22BB08CB"/>
    <w:multiLevelType w:val="hybridMultilevel"/>
    <w:tmpl w:val="28CEE22A"/>
    <w:lvl w:ilvl="0" w:tplc="06A8A694">
      <w:start w:val="1"/>
      <w:numFmt w:val="bullet"/>
      <w:lvlText w:val="●"/>
      <w:lvlJc w:val="left"/>
      <w:pPr>
        <w:ind w:left="720" w:hanging="360"/>
      </w:pPr>
    </w:lvl>
    <w:lvl w:ilvl="1" w:tplc="299E06C8">
      <w:start w:val="1"/>
      <w:numFmt w:val="bullet"/>
      <w:lvlText w:val="○"/>
      <w:lvlJc w:val="left"/>
      <w:pPr>
        <w:ind w:left="1440" w:hanging="360"/>
      </w:pPr>
    </w:lvl>
    <w:lvl w:ilvl="2" w:tplc="8C5ADE00">
      <w:start w:val="1"/>
      <w:numFmt w:val="bullet"/>
      <w:lvlText w:val="■"/>
      <w:lvlJc w:val="left"/>
      <w:pPr>
        <w:ind w:left="2160" w:hanging="360"/>
      </w:pPr>
    </w:lvl>
    <w:lvl w:ilvl="3" w:tplc="412E0A2A">
      <w:start w:val="1"/>
      <w:numFmt w:val="bullet"/>
      <w:lvlText w:val="●"/>
      <w:lvlJc w:val="left"/>
      <w:pPr>
        <w:ind w:left="2880" w:hanging="360"/>
      </w:pPr>
    </w:lvl>
    <w:lvl w:ilvl="4" w:tplc="6346F40C">
      <w:start w:val="1"/>
      <w:numFmt w:val="bullet"/>
      <w:lvlText w:val="○"/>
      <w:lvlJc w:val="left"/>
      <w:pPr>
        <w:ind w:left="3600" w:hanging="360"/>
      </w:pPr>
    </w:lvl>
    <w:lvl w:ilvl="5" w:tplc="2A22A64E">
      <w:start w:val="1"/>
      <w:numFmt w:val="bullet"/>
      <w:lvlText w:val="■"/>
      <w:lvlJc w:val="left"/>
      <w:pPr>
        <w:ind w:left="4320" w:hanging="360"/>
      </w:pPr>
    </w:lvl>
    <w:lvl w:ilvl="6" w:tplc="869C9D68">
      <w:start w:val="1"/>
      <w:numFmt w:val="bullet"/>
      <w:lvlText w:val="●"/>
      <w:lvlJc w:val="left"/>
      <w:pPr>
        <w:ind w:left="5040" w:hanging="360"/>
      </w:pPr>
    </w:lvl>
    <w:lvl w:ilvl="7" w:tplc="32E03144">
      <w:start w:val="1"/>
      <w:numFmt w:val="bullet"/>
      <w:lvlText w:val="●"/>
      <w:lvlJc w:val="left"/>
      <w:pPr>
        <w:ind w:left="5760" w:hanging="360"/>
      </w:pPr>
    </w:lvl>
    <w:lvl w:ilvl="8" w:tplc="886E89DC">
      <w:start w:val="1"/>
      <w:numFmt w:val="bullet"/>
      <w:lvlText w:val="●"/>
      <w:lvlJc w:val="left"/>
      <w:pPr>
        <w:ind w:left="6480" w:hanging="360"/>
      </w:pPr>
    </w:lvl>
  </w:abstractNum>
  <w:num w:numId="1" w16cid:durableId="1095519265">
    <w:abstractNumId w:val="1"/>
    <w:lvlOverride w:ilvl="0">
      <w:startOverride w:val="1"/>
    </w:lvlOverride>
  </w:num>
  <w:num w:numId="2" w16cid:durableId="5055627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0C2"/>
    <w:rsid w:val="000A10C2"/>
    <w:rsid w:val="003D16F1"/>
    <w:rsid w:val="00551627"/>
    <w:rsid w:val="00581980"/>
    <w:rsid w:val="006F74DA"/>
    <w:rsid w:val="007001AC"/>
    <w:rsid w:val="007E6B91"/>
    <w:rsid w:val="0094190F"/>
    <w:rsid w:val="009F305C"/>
    <w:rsid w:val="00A46CBD"/>
    <w:rsid w:val="00B23DA4"/>
    <w:rsid w:val="00B82846"/>
    <w:rsid w:val="00C103E8"/>
    <w:rsid w:val="00F65C8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01373"/>
  <w15:docId w15:val="{2294156A-B0F7-9C44-848B-280A16A93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80" w:after="80"/>
      <w:outlineLvl w:val="1"/>
    </w:pPr>
    <w:rPr>
      <w:b/>
      <w:bCs/>
      <w:color w:val="2E75B6"/>
      <w:sz w:val="28"/>
      <w:szCs w:val="28"/>
    </w:rPr>
  </w:style>
  <w:style w:type="paragraph" w:styleId="Heading3">
    <w:name w:val="heading 3"/>
    <w:uiPriority w:val="9"/>
    <w:unhideWhenUsed/>
    <w:qFormat/>
    <w:pPr>
      <w:spacing w:before="200" w:after="6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E6B91"/>
    <w:pPr>
      <w:tabs>
        <w:tab w:val="center" w:pos="4513"/>
        <w:tab w:val="right" w:pos="9026"/>
      </w:tabs>
    </w:pPr>
  </w:style>
  <w:style w:type="character" w:customStyle="1" w:styleId="HeaderChar">
    <w:name w:val="Header Char"/>
    <w:basedOn w:val="DefaultParagraphFont"/>
    <w:link w:val="Header"/>
    <w:uiPriority w:val="99"/>
    <w:rsid w:val="007E6B91"/>
  </w:style>
  <w:style w:type="paragraph" w:styleId="Footer">
    <w:name w:val="footer"/>
    <w:basedOn w:val="Normal"/>
    <w:link w:val="FooterChar"/>
    <w:uiPriority w:val="99"/>
    <w:unhideWhenUsed/>
    <w:rsid w:val="007E6B91"/>
    <w:pPr>
      <w:tabs>
        <w:tab w:val="center" w:pos="4513"/>
        <w:tab w:val="right" w:pos="9026"/>
      </w:tabs>
    </w:pPr>
  </w:style>
  <w:style w:type="character" w:customStyle="1" w:styleId="FooterChar">
    <w:name w:val="Footer Char"/>
    <w:basedOn w:val="DefaultParagraphFont"/>
    <w:link w:val="Footer"/>
    <w:uiPriority w:val="99"/>
    <w:rsid w:val="007E6B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27" Type="http://schemas.openxmlformats.org/officeDocument/2006/relationships/header" Target="header1.xml"/><Relationship Id="rId28" Type="http://schemas.openxmlformats.org/officeDocument/2006/relationships/footer" Target="footer1.xml"/><Relationship Id="rId29" Type="http://schemas.openxmlformats.org/officeDocument/2006/relationships/fontTable" Target="fontTable.xml"/><Relationship Id="rId30" Type="http://schemas.openxmlformats.org/officeDocument/2006/relationships/theme" Target="theme/theme1.xml"/></Relationships>
</file>

<file path=word/_rels/footer1.xml.rels><?xml version="1.0" encoding="UTF-8"?><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15</Pages>
  <Words>2017</Words>
  <Characters>11503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ULStudent:HARRY.KENNEDY</cp:lastModifiedBy>
  <cp:revision>6</cp:revision>
  <dcterms:created xsi:type="dcterms:W3CDTF">2026-06-01T19:24:00Z</dcterms:created>
  <dcterms:modified xsi:type="dcterms:W3CDTF">2026-06-02T09:39:00Z</dcterms:modified>
</cp:coreProperties>
</file>