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2"/>
        </w:rPr>
        <w:t>Área de Inteligencia e Integridad</w:t>
      </w:r>
    </w:p>
    <w:p>
      <w:pPr>
        <w:spacing w:after="0"/>
        <w:jc w:val="center"/>
      </w:pPr>
      <w:r>
        <w:rPr>
          <w:rFonts w:ascii="Arial" w:hAnsi="Arial"/>
          <w:b/>
          <w:sz w:val="22"/>
        </w:rPr>
        <w:t>Instituto de Investigación Científica</w:t>
      </w:r>
    </w:p>
    <w:p>
      <w:pPr>
        <w:spacing w:after="0"/>
        <w:jc w:val="center"/>
      </w:pPr>
      <w:r>
        <w:rPr>
          <w:rFonts w:ascii="Arial" w:hAnsi="Arial"/>
          <w:b/>
          <w:sz w:val="22"/>
        </w:rPr>
        <w:t>Universidad de Lima</w:t>
      </w:r>
    </w:p>
    <w:p/>
    <w:p>
      <w:pPr>
        <w:jc w:val="center"/>
      </w:pPr>
      <w:r>
        <w:rPr>
          <w:b/>
          <w:sz w:val="22"/>
        </w:rPr>
        <w:t xml:space="preserve">Informe N° </w:t>
      </w:r>
      <w:r>
        <w:rPr>
          <w:b/>
          <w:sz w:val="22"/>
        </w:rPr>
        <w:t>IDIC-IQInteg-R-037-2026</w:t>
      </w:r>
    </w:p>
    <w:p>
      <w:pPr>
        <w:jc w:val="center"/>
      </w:pPr>
      <w:r>
        <w:rPr>
          <w:b/>
          <w:sz w:val="22"/>
        </w:rPr>
        <w:t>Integridad científica de la revista C-Journal of Carbon Research</w:t>
      </w:r>
    </w:p>
    <w:p>
      <w:pPr>
        <w:jc w:val="center"/>
      </w:pPr>
      <w:r>
        <w:rPr>
          <w:sz w:val="22"/>
        </w:rPr>
        <w:t>Lima, 11 de marzo de 2026</w:t>
      </w:r>
    </w:p>
    <w:p/>
    <w:p>
      <w:pPr>
        <w:pStyle w:val="Heading1"/>
      </w:pPr>
      <w:r>
        <w:t>1. Datos de la revista</w:t>
      </w:r>
    </w:p>
    <w:p>
      <w:pPr>
        <w:spacing w:before="120" w:after="40"/>
        <w:ind w:left="283"/>
      </w:pPr>
      <w:r>
        <w:rPr>
          <w:b/>
        </w:rPr>
        <w:t xml:space="preserve">1.1 ISSN: </w:t>
      </w:r>
      <w:r>
        <w:t>[no disponible];  E-ISSN: 2311-5629</w:t>
      </w:r>
    </w:p>
    <w:p>
      <w:pPr>
        <w:spacing w:before="80" w:after="40"/>
        <w:ind w:left="283"/>
      </w:pPr>
      <w:r>
        <w:rPr>
          <w:b/>
        </w:rPr>
        <w:t xml:space="preserve">1.2 Sitio web: </w:t>
      </w:r>
      <w:r>
        <w:t>[no disponible]</w:t>
      </w:r>
    </w:p>
    <w:p>
      <w:pPr>
        <w:spacing w:before="80" w:after="40"/>
        <w:ind w:left="283"/>
      </w:pPr>
      <w:r>
        <w:rPr>
          <w:b/>
        </w:rPr>
        <w:t xml:space="preserve">1.3 Editorial: </w:t>
      </w:r>
      <w:r>
        <w:t>Multidisciplinary Digital Publishing Institute (MDPI)</w:t>
      </w:r>
    </w:p>
    <w:p>
      <w:pPr>
        <w:spacing w:before="80" w:after="40"/>
        <w:ind w:left="283"/>
      </w:pPr>
      <w:r>
        <w:rPr>
          <w:b/>
        </w:rPr>
        <w:t xml:space="preserve">1.4 APC: </w:t>
      </w:r>
      <w:r>
        <w:rPr>
          <w:highlight w:val="yellow"/>
        </w:rPr>
        <w:t>[COMPLETAR: monto y moneda, o 'Sin APC']</w:t>
      </w:r>
    </w:p>
    <w:p>
      <w:pPr>
        <w:spacing w:before="80" w:after="40"/>
        <w:ind w:left="283"/>
      </w:pPr>
      <w:r>
        <w:rPr>
          <w:b/>
        </w:rPr>
        <w:t xml:space="preserve">1.5 Tiempo de publicación de artículos: </w:t>
      </w:r>
      <w:r>
        <w:rPr>
          <w:highlight w:val="yellow"/>
        </w:rPr>
        <w:t>[COMPLETAR: días promedio o 'No precisa el sitio web']</w:t>
      </w:r>
    </w:p>
    <w:p>
      <w:pPr>
        <w:spacing w:before="80" w:after="40"/>
        <w:ind w:left="283"/>
      </w:pPr>
      <w:r>
        <w:rPr>
          <w:b/>
        </w:rPr>
        <w:t>1.6 Cuartil CiteScore (Scopus 2024):</w:t>
      </w:r>
    </w:p>
    <w:p>
      <w:pPr>
        <w:spacing w:after="40"/>
        <w:ind w:left="283"/>
      </w:pPr>
      <w:r>
        <w:rPr>
          <w:sz w:val="22"/>
        </w:rPr>
        <w:t>De acuerdo con el área temática Environmental Science, la revista se clasifica en las siguientes categorías y cuartiles:</w:t>
      </w:r>
    </w:p>
    <w:p>
      <w:pPr>
        <w:pStyle w:val="ListBullet"/>
        <w:ind w:left="567"/>
      </w:pPr>
      <w:r>
        <w:t>Se ubica en el cuartil Q2 en la categoría Subárea 2301.</w:t>
      </w:r>
    </w:p>
    <w:p>
      <w:pPr>
        <w:spacing w:after="40"/>
        <w:ind w:left="283"/>
      </w:pPr>
      <w:r>
        <w:rPr>
          <w:sz w:val="22"/>
        </w:rPr>
        <w:t>De acuerdo con el área temática Materials Science, la revista se clasifica en las siguientes categorías y cuartiles:</w:t>
      </w:r>
    </w:p>
    <w:p>
      <w:pPr>
        <w:pStyle w:val="ListBullet"/>
        <w:ind w:left="567"/>
      </w:pPr>
      <w:r>
        <w:t>Se ubica en el cuartil Q2 en la categoría Materials Science (miscellaneous).</w:t>
      </w:r>
    </w:p>
    <w:p>
      <w:pPr>
        <w:spacing w:before="80" w:after="40"/>
        <w:ind w:left="283"/>
      </w:pPr>
      <w:r>
        <w:rPr>
          <w:b/>
        </w:rPr>
        <w:t>1.7 Cuartil WoS (JIF 2025):</w:t>
      </w:r>
    </w:p>
    <w:p>
      <w:pPr>
        <w:spacing w:after="40"/>
        <w:ind w:left="283"/>
      </w:pPr>
      <w:r>
        <w:rPr>
          <w:b/>
        </w:rPr>
        <w:t xml:space="preserve">Colección WoS: </w:t>
      </w:r>
      <w:r>
        <w:t>SCIE, SSCI, ESCI, AHCI</w:t>
      </w:r>
    </w:p>
    <w:p>
      <w:pPr>
        <w:ind w:left="283"/>
      </w:pPr>
      <w:r>
        <w:rPr>
          <w:highlight w:val="yellow"/>
        </w:rPr>
        <w:t>[COMPLETAR: cuartil y categoría JCR (datos de colección obtenidos automáticamente)]</w:t>
      </w:r>
    </w:p>
    <w:p>
      <w:pPr>
        <w:ind w:left="283"/>
      </w:pPr>
      <w:r>
        <w:rPr>
          <w:i/>
          <w:sz w:val="18"/>
        </w:rPr>
        <w:t>Fuente: wos-journal.info</w:t>
      </w:r>
    </w:p>
    <w:p>
      <w:pPr>
        <w:spacing w:before="80" w:after="40"/>
        <w:ind w:left="283"/>
      </w:pPr>
      <w:r>
        <w:rPr>
          <w:b/>
        </w:rPr>
        <w:t xml:space="preserve">1.8 Vigencia en Scopus: </w:t>
      </w:r>
      <w:r>
        <w:t>Revista vigente en Scopus de 2022 a 2025.</w:t>
      </w:r>
    </w:p>
    <w:p>
      <w:pPr>
        <w:ind w:left="283"/>
      </w:pPr>
      <w:r>
        <w:t>https://www.scopus.com/source/sourceInfo.url?sourceId=21101170302</w:t>
      </w:r>
    </w:p>
    <w:p/>
    <w:p>
      <w:pPr>
        <w:pStyle w:val="Heading1"/>
      </w:pPr>
      <w:r>
        <w:t>2. Producción científica de la revista</w:t>
      </w:r>
    </w:p>
    <w:p>
      <w:pPr>
        <w:pStyle w:val="Heading2"/>
      </w:pPr>
      <w:r>
        <w:t>2.1 Publicaciones por año</w:t>
      </w:r>
    </w:p>
    <w:p>
      <w:pPr>
        <w:spacing w:after="120"/>
      </w:pPr>
      <w:r>
        <w:t>La revista C-Journal of Carbon Research registra, a la fecha, 401 documentos indexados en Scopus.</w:t>
      </w:r>
    </w:p>
    <w:p>
      <w:pPr>
        <w:spacing w:after="120"/>
      </w:pPr>
      <w:r>
        <w:t>Durante el período 2022–2025, el volumen inició en 80 documentos en 2022 y alcanzó su punto más alto en 2023 con 120 documentos.</w:t>
      </w:r>
    </w:p>
    <w:p>
      <w:pPr>
        <w:spacing w:before="120"/>
      </w:pPr>
      <w:r>
        <w:rPr>
          <w:b/>
        </w:rPr>
        <w:t>Figura 1</w:t>
      </w:r>
      <w:r>
        <w:br/>
      </w:r>
      <w:r>
        <w:rPr>
          <w:i/>
        </w:rPr>
        <w:t>Publicaciones por año de la revista</w:t>
      </w:r>
    </w:p>
    <w:p>
      <w:pPr>
        <w:jc w:val="center"/>
      </w:pPr>
      <w:r>
        <w:drawing>
          <wp:inline xmlns:a="http://schemas.openxmlformats.org/drawingml/2006/main" xmlns:pic="http://schemas.openxmlformats.org/drawingml/2006/picture">
            <wp:extent cx="5040000" cy="22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240000"/>
                    </a:xfrm>
                    <a:prstGeom prst="rect"/>
                  </pic:spPr>
                </pic:pic>
              </a:graphicData>
            </a:graphic>
          </wp:inline>
        </w:drawing>
      </w:r>
    </w:p>
    <w:p>
      <w:pPr>
        <w:spacing w:before="40"/>
      </w:pPr>
      <w:r>
        <w:rPr>
          <w:i/>
          <w:sz w:val="18"/>
        </w:rPr>
        <w:t>Nota: Elaborado a partir de datos extraídos de Scopus.</w:t>
      </w:r>
    </w:p>
    <w:p/>
    <w:p>
      <w:pPr>
        <w:pStyle w:val="Heading2"/>
      </w:pPr>
      <w:r>
        <w:t>2.2 Documentos por país</w:t>
      </w:r>
    </w:p>
    <w:p>
      <w:pPr>
        <w:spacing w:after="120"/>
      </w:pPr>
      <w:r>
        <w:t>La revista registra contribuciones de 15 países. Los países con mayor volumen de publicaciones son China, United States, Italy, concentrando la mayoría de los 353 documentos analizados.</w:t>
      </w:r>
    </w:p>
    <w:p>
      <w:pPr>
        <w:spacing w:before="120"/>
      </w:pPr>
      <w:r>
        <w:rPr>
          <w:b/>
        </w:rPr>
        <w:t>Figura 2</w:t>
      </w:r>
      <w:r>
        <w:br/>
      </w:r>
      <w:r>
        <w:rPr>
          <w:i/>
        </w:rPr>
        <w:t>Publicaciones de la revista por país</w:t>
      </w:r>
    </w:p>
    <w:p>
      <w:pPr>
        <w:jc w:val="center"/>
      </w:pPr>
      <w:r>
        <w:drawing>
          <wp:inline xmlns:a="http://schemas.openxmlformats.org/drawingml/2006/main" xmlns:pic="http://schemas.openxmlformats.org/drawingml/2006/picture">
            <wp:extent cx="5040000" cy="319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3192000"/>
                    </a:xfrm>
                    <a:prstGeom prst="rect"/>
                  </pic:spPr>
                </pic:pic>
              </a:graphicData>
            </a:graphic>
          </wp:inline>
        </w:drawing>
      </w:r>
    </w:p>
    <w:p>
      <w:pPr>
        <w:spacing w:before="40"/>
      </w:pPr>
      <w:r>
        <w:rPr>
          <w:i/>
          <w:sz w:val="18"/>
        </w:rPr>
        <w:t>Nota: Elaborado a partir de datos extraídos de Scopus (faceta AFFILCOUNTRY).</w:t>
      </w:r>
    </w:p>
    <w:p/>
    <w:p>
      <w:pPr>
        <w:pStyle w:val="Heading2"/>
      </w:pPr>
      <w:r>
        <w:t>2.3 Artículos retractados por la revista</w:t>
      </w:r>
    </w:p>
    <w:p>
      <w:pPr/>
      <w:r>
        <w:t>No se identificaron artículos retractados en Scopus.</w:t>
      </w:r>
    </w:p>
    <w:p>
      <w:pPr/>
      <w:r>
        <w:rPr>
          <w:highlight w:val="yellow"/>
        </w:rPr>
        <w:t>[COMPLETAR: artículos retractados en Web of Science]</w:t>
      </w:r>
    </w:p>
    <w:p/>
    <w:p>
      <w:pPr>
        <w:pStyle w:val="Heading1"/>
      </w:pPr>
      <w:r>
        <w:t>3. Verificación de listas de revistas predatorias</w:t>
      </w:r>
    </w:p>
    <w:p>
      <w:pPr/>
      <w:r>
        <w:t>No figura en la lista de Predatory journals ni en Beall's List.</w:t>
      </w:r>
    </w:p>
    <w:p>
      <w:pPr>
        <w:pStyle w:val="ListBullet"/>
      </w:pPr>
      <w:r>
        <w:t>https://www.predatoryjournals.org/the-list/journals</w:t>
      </w:r>
    </w:p>
    <w:p>
      <w:pPr>
        <w:pStyle w:val="ListBullet"/>
      </w:pPr>
      <w:r>
        <w:t>https://beallslist.net/</w:t>
      </w:r>
    </w:p>
    <w:p/>
    <w:p>
      <w:pPr>
        <w:pStyle w:val="Heading1"/>
      </w:pPr>
      <w:r>
        <w:t>4. Conclusiones</w:t>
      </w:r>
    </w:p>
    <w:p>
      <w:pPr>
        <w:spacing w:before="80" w:after="40"/>
        <w:ind w:left="283"/>
      </w:pPr>
      <w:r>
        <w:rPr>
          <w:b/>
        </w:rPr>
        <w:t xml:space="preserve">4.1 </w:t>
      </w:r>
      <w:r>
        <w:t>Es una revista indexada en la base de datos Scopus (vigente de 2022 a 2025).</w:t>
      </w:r>
    </w:p>
    <w:p>
      <w:pPr>
        <w:spacing w:before="80" w:after="40"/>
        <w:ind w:left="283"/>
      </w:pPr>
      <w:r>
        <w:rPr>
          <w:b/>
        </w:rPr>
        <w:t xml:space="preserve">4.2 </w:t>
      </w:r>
      <w:r>
        <w:t>Presenta métricas CiteScore con clasificación en Q2 en sus categorías de mayor desempeño.</w:t>
      </w:r>
    </w:p>
    <w:p>
      <w:pPr>
        <w:spacing w:before="80" w:after="40"/>
        <w:ind w:left="283"/>
      </w:pPr>
      <w:r>
        <w:rPr>
          <w:b/>
        </w:rPr>
        <w:t xml:space="preserve">4.3 </w:t>
      </w:r>
      <w:r>
        <w:t>No presenta indicios de malas prácticas (no figura en listas de revistas predatorias).</w:t>
      </w:r>
    </w:p>
    <w:p/>
    <w:p>
      <w:pPr>
        <w:pStyle w:val="Heading1"/>
      </w:pPr>
      <w:r>
        <w:t>5. Recomendaciones</w:t>
      </w:r>
    </w:p>
    <w:p>
      <w:pPr>
        <w:spacing w:before="80" w:after="40"/>
        <w:ind w:left="283"/>
      </w:pPr>
      <w:r>
        <w:rPr>
          <w:b/>
        </w:rPr>
        <w:t xml:space="preserve">5.1 </w:t>
      </w:r>
      <w:r>
        <w:t>Para elecciones futuras de una revista científica, se recomienda leer el Protocolo para la evaluación de la idoneidad de publicaciones científicas. Esta revisión permitirá comprender mejor los criterios de calidad que la institución considera importantes al evaluar las publicaciones científicas.</w:t>
      </w:r>
    </w:p>
    <w:p>
      <w:pPr>
        <w:spacing w:before="80" w:after="40"/>
        <w:ind w:left="283"/>
      </w:pPr>
      <w:r>
        <w:rPr>
          <w:b/>
        </w:rPr>
        <w:t xml:space="preserve">5.2 </w:t>
      </w:r>
      <w:r>
        <w:t>Es importante reconocer que el comportamiento editorial, la calidad y la reputación de una revista pueden cambiar con el tiempo. Por lo tanto, se aconseja verificar sus indexaciones periódicamente.</w:t>
      </w:r>
    </w:p>
    <w:p/>
    <w:sectPr w:rsidR="00FC693F" w:rsidRPr="0006063C" w:rsidSect="00034616">
      <w:footerReference w:type="default" r:id="rId11"/>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8"/>
      </w:rPr>
      <w:t>El presente informe tiene una vigencia de tres (03) meses a partir de su fecha de emisión.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left="283"/>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ind w:left="567"/>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