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91.svg" ContentType="image/svg+xml"/>
  <Override PartName="/word/media/rId121.svg" ContentType="image/svg+xml"/>
  <Override PartName="/word/media/rId126.svg" ContentType="image/svg+xml"/>
  <Override PartName="/word/media/rId34.svg" ContentType="image/svg+xml"/>
  <Override PartName="/word/media/rId39.svg" ContentType="image/svg+xml"/>
  <Override PartName="/word/media/rId71.png" ContentType="image/png"/>
  <Override PartName="/word/media/rId114.png" ContentType="image/png"/>
  <Override PartName="/word/media/rId104.png" ContentType="image/png"/>
  <Override PartName="/word/media/rId108.png" ContentType="image/png"/>
  <Override PartName="/word/media/rId75.png" ContentType="image/png"/>
  <Override PartName="/word/media/rId100.png" ContentType="image/png"/>
  <Override PartName="/word/media/rId124.png" ContentType="image/png"/>
  <Override PartName="/word/media/rId129.png" ContentType="image/png"/>
  <Override PartName="/word/media/rId37.png" ContentType="image/png"/>
  <Override PartName="/word/media/rId42.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古今和歌集の現代語訳における追加率と追加要素の分析</w:t>
      </w:r>
    </w:p>
    <w:p>
      <w:pPr>
        <w:pStyle w:val="Author"/>
      </w:pPr>
      <w:r>
        <w:t xml:space="preserve">Xudong</w:t>
      </w:r>
      <w:r>
        <w:t xml:space="preserve"> </w:t>
      </w:r>
      <w:r>
        <w:t xml:space="preserve">Chen</w:t>
      </w:r>
    </w:p>
    <w:p>
      <w:pPr>
        <w:pStyle w:val="Author"/>
      </w:pPr>
      <w:r>
        <w:t xml:space="preserve">Bor</w:t>
      </w:r>
      <w:r>
        <w:t xml:space="preserve"> </w:t>
      </w:r>
      <w:r>
        <w:t xml:space="preserve">Hodošček</w:t>
      </w:r>
    </w:p>
    <w:p>
      <w:pPr>
        <w:pStyle w:val="Author"/>
      </w:pPr>
      <w:r>
        <w:t xml:space="preserve">Hilofumi</w:t>
      </w:r>
      <w:r>
        <w:t xml:space="preserve"> </w:t>
      </w:r>
      <w:r>
        <w:t xml:space="preserve">Yamamoto</w:t>
      </w:r>
    </w:p>
    <w:p>
      <w:pPr>
        <w:pStyle w:val="Date"/>
      </w:pPr>
      <w:r>
        <w:t xml:space="preserve">2024-09-01</w:t>
      </w:r>
    </w:p>
    <w:p>
      <w:pPr>
        <w:pStyle w:val="AbstractTitle"/>
      </w:pPr>
      <w:r>
        <w:t xml:space="preserve">Abstract</w:t>
      </w:r>
    </w:p>
    <w:p>
      <w:pPr>
        <w:pStyle w:val="Abstract"/>
      </w:pPr>
      <w:r>
        <w:t xml:space="preserve">筆者らは、古今和歌集の歌ことばのノンリテラル情報を可視化するシステムを開発してきたが、それに用いた現代語訳や追加要素の詳細な分析は行われていなかった。本研究の目的は、古今和歌集の現代語訳10種類が、ノンリテラル要素の可視化に適しているかどうかを分析することである。まず、現代語訳について概観し、訳者の翻訳意識を作意中心・テキスト中心・読者中心・不明の4種に分類した。次に、直訳語を持たない歌ことばの割合（不一致率）と、現代語訳における追加要素の割合（追加率）を計算し、どの訳も多くの追加要素を含むことを確認した。さらに、具体例を示し、コーパスレベルの共出現傾向に基づく推論が現代語訳にどのように反映されているかを分析した。これにより、現代語訳がノンリテラル情報の可視化に適用できることを示した。</w:t>
      </w:r>
      <w:r>
        <w:t xml:space="preserve"> </w:t>
      </w:r>
      <w:r>
        <w:t xml:space="preserve">Previous</w:t>
      </w:r>
      <w:r>
        <w:t xml:space="preserve"> </w:t>
      </w:r>
      <w:r>
        <w:t xml:space="preserve">research</w:t>
      </w:r>
      <w:r>
        <w:t xml:space="preserve"> </w:t>
      </w:r>
      <w:r>
        <w:t xml:space="preserve">has</w:t>
      </w:r>
      <w:r>
        <w:t xml:space="preserve"> </w:t>
      </w:r>
      <w:r>
        <w:t xml:space="preserve">developed</w:t>
      </w:r>
      <w:r>
        <w:t xml:space="preserve"> </w:t>
      </w:r>
      <w:r>
        <w:t xml:space="preserve">a</w:t>
      </w:r>
      <w:r>
        <w:t xml:space="preserve"> </w:t>
      </w:r>
      <w:r>
        <w:t xml:space="preserve">system</w:t>
      </w:r>
      <w:r>
        <w:t xml:space="preserve"> </w:t>
      </w:r>
      <w:r>
        <w:t xml:space="preserve">for</w:t>
      </w:r>
      <w:r>
        <w:t xml:space="preserve"> </w:t>
      </w:r>
      <w:r>
        <w:t xml:space="preserve">visualizing</w:t>
      </w:r>
      <w:r>
        <w:t xml:space="preserve"> </w:t>
      </w:r>
      <w:r>
        <w:t xml:space="preserve">non-literal</w:t>
      </w:r>
      <w:r>
        <w:t xml:space="preserve"> </w:t>
      </w:r>
      <w:r>
        <w:t xml:space="preserve">information</w:t>
      </w:r>
      <w:r>
        <w:t xml:space="preserve"> </w:t>
      </w:r>
      <w:r>
        <w:t xml:space="preserve">in</w:t>
      </w:r>
      <w:r>
        <w:t xml:space="preserve"> </w:t>
      </w:r>
      <w:r>
        <w:t xml:space="preserve">the</w:t>
      </w:r>
      <w:r>
        <w:t xml:space="preserve"> </w:t>
      </w:r>
      <w:r>
        <w:t xml:space="preserve">Kokinshū’s</w:t>
      </w:r>
      <w:r>
        <w:t xml:space="preserve"> </w:t>
      </w:r>
      <w:r>
        <w:t xml:space="preserve">poetic</w:t>
      </w:r>
      <w:r>
        <w:t xml:space="preserve"> </w:t>
      </w:r>
      <w:r>
        <w:t xml:space="preserve">words</w:t>
      </w:r>
      <w:r>
        <w:t xml:space="preserve"> </w:t>
      </w:r>
      <w:r>
        <w:t xml:space="preserve">by</w:t>
      </w:r>
      <w:r>
        <w:t xml:space="preserve"> </w:t>
      </w:r>
      <w:r>
        <w:t xml:space="preserve">adding</w:t>
      </w:r>
      <w:r>
        <w:t xml:space="preserve"> </w:t>
      </w:r>
      <w:r>
        <w:t xml:space="preserve">elements</w:t>
      </w:r>
      <w:r>
        <w:t xml:space="preserve"> </w:t>
      </w:r>
      <w:r>
        <w:t xml:space="preserve">in</w:t>
      </w:r>
      <w:r>
        <w:t xml:space="preserve"> </w:t>
      </w:r>
      <w:r>
        <w:t xml:space="preserve">translations</w:t>
      </w:r>
      <w:r>
        <w:t xml:space="preserve"> </w:t>
      </w:r>
      <w:r>
        <w:t xml:space="preserve">found</w:t>
      </w:r>
      <w:r>
        <w:t xml:space="preserve"> </w:t>
      </w:r>
      <w:r>
        <w:t xml:space="preserve">in</w:t>
      </w:r>
      <w:r>
        <w:t xml:space="preserve"> </w:t>
      </w:r>
      <w:r>
        <w:t xml:space="preserve">annotation</w:t>
      </w:r>
      <w:r>
        <w:t xml:space="preserve"> </w:t>
      </w:r>
      <w:r>
        <w:t xml:space="preserve">books.</w:t>
      </w:r>
      <w:r>
        <w:t xml:space="preserve"> </w:t>
      </w:r>
      <w:r>
        <w:t xml:space="preserve">However,</w:t>
      </w:r>
      <w:r>
        <w:t xml:space="preserve"> </w:t>
      </w:r>
      <w:r>
        <w:t xml:space="preserve">detailed</w:t>
      </w:r>
      <w:r>
        <w:t xml:space="preserve"> </w:t>
      </w:r>
      <w:r>
        <w:t xml:space="preserve">analysis</w:t>
      </w:r>
      <w:r>
        <w:t xml:space="preserve"> </w:t>
      </w:r>
      <w:r>
        <w:t xml:space="preserve">of</w:t>
      </w:r>
      <w:r>
        <w:t xml:space="preserve"> </w:t>
      </w:r>
      <w:r>
        <w:t xml:space="preserve">these</w:t>
      </w:r>
      <w:r>
        <w:t xml:space="preserve"> </w:t>
      </w:r>
      <w:r>
        <w:t xml:space="preserve">translations</w:t>
      </w:r>
      <w:r>
        <w:t xml:space="preserve"> </w:t>
      </w:r>
      <w:r>
        <w:t xml:space="preserve">and</w:t>
      </w:r>
      <w:r>
        <w:t xml:space="preserve"> </w:t>
      </w:r>
      <w:r>
        <w:t xml:space="preserve">the</w:t>
      </w:r>
      <w:r>
        <w:t xml:space="preserve"> </w:t>
      </w:r>
      <w:r>
        <w:t xml:space="preserve">added</w:t>
      </w:r>
      <w:r>
        <w:t xml:space="preserve"> </w:t>
      </w:r>
      <w:r>
        <w:t xml:space="preserve">elements</w:t>
      </w:r>
      <w:r>
        <w:t xml:space="preserve"> </w:t>
      </w:r>
      <w:r>
        <w:t xml:space="preserve">has</w:t>
      </w:r>
      <w:r>
        <w:t xml:space="preserve"> </w:t>
      </w:r>
      <w:r>
        <w:t xml:space="preserve">not</w:t>
      </w:r>
      <w:r>
        <w:t xml:space="preserve"> </w:t>
      </w:r>
      <w:r>
        <w:t xml:space="preserve">been</w:t>
      </w:r>
      <w:r>
        <w:t xml:space="preserve"> </w:t>
      </w:r>
      <w:r>
        <w:t xml:space="preserve">conducted.</w:t>
      </w:r>
      <w:r>
        <w:t xml:space="preserve"> </w:t>
      </w:r>
      <w:r>
        <w:t xml:space="preserve">This</w:t>
      </w:r>
      <w:r>
        <w:t xml:space="preserve"> </w:t>
      </w:r>
      <w:r>
        <w:t xml:space="preserve">study</w:t>
      </w:r>
      <w:r>
        <w:t xml:space="preserve"> </w:t>
      </w:r>
      <w:r>
        <w:t xml:space="preserve">aims</w:t>
      </w:r>
      <w:r>
        <w:t xml:space="preserve"> </w:t>
      </w:r>
      <w:r>
        <w:t xml:space="preserve">to</w:t>
      </w:r>
      <w:r>
        <w:t xml:space="preserve"> </w:t>
      </w:r>
      <w:r>
        <w:t xml:space="preserve">evaluate</w:t>
      </w:r>
      <w:r>
        <w:t xml:space="preserve"> </w:t>
      </w:r>
      <w:r>
        <w:t xml:space="preserve">whether</w:t>
      </w:r>
      <w:r>
        <w:t xml:space="preserve"> </w:t>
      </w:r>
      <w:r>
        <w:t xml:space="preserve">the</w:t>
      </w:r>
      <w:r>
        <w:t xml:space="preserve"> </w:t>
      </w:r>
      <w:r>
        <w:t xml:space="preserve">ten</w:t>
      </w:r>
      <w:r>
        <w:t xml:space="preserve"> </w:t>
      </w:r>
      <w:r>
        <w:t xml:space="preserve">contemporary</w:t>
      </w:r>
      <w:r>
        <w:t xml:space="preserve"> </w:t>
      </w:r>
      <w:r>
        <w:t xml:space="preserve">Japanese</w:t>
      </w:r>
      <w:r>
        <w:t xml:space="preserve"> </w:t>
      </w:r>
      <w:r>
        <w:t xml:space="preserve">translations</w:t>
      </w:r>
      <w:r>
        <w:t xml:space="preserve"> </w:t>
      </w:r>
      <w:r>
        <w:t xml:space="preserve">of</w:t>
      </w:r>
      <w:r>
        <w:t xml:space="preserve"> </w:t>
      </w:r>
      <w:r>
        <w:t xml:space="preserve">the</w:t>
      </w:r>
      <w:r>
        <w:t xml:space="preserve"> </w:t>
      </w:r>
      <w:r>
        <w:t xml:space="preserve">Kokinshū</w:t>
      </w:r>
      <w:r>
        <w:t xml:space="preserve"> </w:t>
      </w:r>
      <w:r>
        <w:t xml:space="preserve">used</w:t>
      </w:r>
      <w:r>
        <w:t xml:space="preserve"> </w:t>
      </w:r>
      <w:r>
        <w:t xml:space="preserve">in</w:t>
      </w:r>
      <w:r>
        <w:t xml:space="preserve"> </w:t>
      </w:r>
      <w:r>
        <w:t xml:space="preserve">prior</w:t>
      </w:r>
      <w:r>
        <w:t xml:space="preserve"> </w:t>
      </w:r>
      <w:r>
        <w:t xml:space="preserve">studies</w:t>
      </w:r>
      <w:r>
        <w:t xml:space="preserve"> </w:t>
      </w:r>
      <w:r>
        <w:t xml:space="preserve">are</w:t>
      </w:r>
      <w:r>
        <w:t xml:space="preserve"> </w:t>
      </w:r>
      <w:r>
        <w:t xml:space="preserve">suitable</w:t>
      </w:r>
      <w:r>
        <w:t xml:space="preserve"> </w:t>
      </w:r>
      <w:r>
        <w:t xml:space="preserve">for</w:t>
      </w:r>
      <w:r>
        <w:t xml:space="preserve"> </w:t>
      </w:r>
      <w:r>
        <w:t xml:space="preserve">visualizing</w:t>
      </w:r>
      <w:r>
        <w:t xml:space="preserve"> </w:t>
      </w:r>
      <w:r>
        <w:t xml:space="preserve">non-literal</w:t>
      </w:r>
      <w:r>
        <w:t xml:space="preserve"> </w:t>
      </w:r>
      <w:r>
        <w:t xml:space="preserve">elements.</w:t>
      </w:r>
      <w:r>
        <w:t xml:space="preserve"> </w:t>
      </w:r>
      <w:r>
        <w:t xml:space="preserve">First,</w:t>
      </w:r>
      <w:r>
        <w:t xml:space="preserve"> </w:t>
      </w:r>
      <w:r>
        <w:t xml:space="preserve">we</w:t>
      </w:r>
      <w:r>
        <w:t xml:space="preserve"> </w:t>
      </w:r>
      <w:r>
        <w:t xml:space="preserve">review</w:t>
      </w:r>
      <w:r>
        <w:t xml:space="preserve"> </w:t>
      </w:r>
      <w:r>
        <w:t xml:space="preserve">these</w:t>
      </w:r>
      <w:r>
        <w:t xml:space="preserve"> </w:t>
      </w:r>
      <w:r>
        <w:t xml:space="preserve">translations</w:t>
      </w:r>
      <w:r>
        <w:t xml:space="preserve"> </w:t>
      </w:r>
      <w:r>
        <w:t xml:space="preserve">and</w:t>
      </w:r>
      <w:r>
        <w:t xml:space="preserve"> </w:t>
      </w:r>
      <w:r>
        <w:t xml:space="preserve">categorize</w:t>
      </w:r>
      <w:r>
        <w:t xml:space="preserve"> </w:t>
      </w:r>
      <w:r>
        <w:t xml:space="preserve">the</w:t>
      </w:r>
      <w:r>
        <w:t xml:space="preserve"> </w:t>
      </w:r>
      <w:r>
        <w:t xml:space="preserve">translators’</w:t>
      </w:r>
      <w:r>
        <w:t xml:space="preserve"> </w:t>
      </w:r>
      <w:r>
        <w:t xml:space="preserve">approaches</w:t>
      </w:r>
      <w:r>
        <w:t xml:space="preserve"> </w:t>
      </w:r>
      <w:r>
        <w:t xml:space="preserve">as</w:t>
      </w:r>
      <w:r>
        <w:t xml:space="preserve"> </w:t>
      </w:r>
      <w:r>
        <w:t xml:space="preserve">poet-focused,</w:t>
      </w:r>
      <w:r>
        <w:t xml:space="preserve"> </w:t>
      </w:r>
      <w:r>
        <w:t xml:space="preserve">text-focused,</w:t>
      </w:r>
      <w:r>
        <w:t xml:space="preserve"> </w:t>
      </w:r>
      <w:r>
        <w:t xml:space="preserve">reader-focused,</w:t>
      </w:r>
      <w:r>
        <w:t xml:space="preserve"> </w:t>
      </w:r>
      <w:r>
        <w:t xml:space="preserve">or</w:t>
      </w:r>
      <w:r>
        <w:t xml:space="preserve"> </w:t>
      </w:r>
      <w:r>
        <w:t xml:space="preserve">unclear.</w:t>
      </w:r>
      <w:r>
        <w:t xml:space="preserve"> </w:t>
      </w:r>
      <w:r>
        <w:t xml:space="preserve">We</w:t>
      </w:r>
      <w:r>
        <w:t xml:space="preserve"> </w:t>
      </w:r>
      <w:r>
        <w:t xml:space="preserve">then</w:t>
      </w:r>
      <w:r>
        <w:t xml:space="preserve"> </w:t>
      </w:r>
      <w:r>
        <w:t xml:space="preserve">calculate</w:t>
      </w:r>
      <w:r>
        <w:t xml:space="preserve"> </w:t>
      </w:r>
      <w:r>
        <w:t xml:space="preserve">the</w:t>
      </w:r>
      <w:r>
        <w:t xml:space="preserve"> </w:t>
      </w:r>
      <w:r>
        <w:t xml:space="preserve">unmatch</w:t>
      </w:r>
      <w:r>
        <w:t xml:space="preserve"> </w:t>
      </w:r>
      <w:r>
        <w:t xml:space="preserve">rate</w:t>
      </w:r>
      <w:r>
        <w:t xml:space="preserve"> </w:t>
      </w:r>
      <w:r>
        <w:t xml:space="preserve">(the</w:t>
      </w:r>
      <w:r>
        <w:t xml:space="preserve"> </w:t>
      </w:r>
      <w:r>
        <w:t xml:space="preserve">proportion</w:t>
      </w:r>
      <w:r>
        <w:t xml:space="preserve"> </w:t>
      </w:r>
      <w:r>
        <w:t xml:space="preserve">of</w:t>
      </w:r>
      <w:r>
        <w:t xml:space="preserve"> </w:t>
      </w:r>
      <w:r>
        <w:t xml:space="preserve">poetic</w:t>
      </w:r>
      <w:r>
        <w:t xml:space="preserve"> </w:t>
      </w:r>
      <w:r>
        <w:t xml:space="preserve">words</w:t>
      </w:r>
      <w:r>
        <w:t xml:space="preserve"> </w:t>
      </w:r>
      <w:r>
        <w:t xml:space="preserve">without</w:t>
      </w:r>
      <w:r>
        <w:t xml:space="preserve"> </w:t>
      </w:r>
      <w:r>
        <w:t xml:space="preserve">direct</w:t>
      </w:r>
      <w:r>
        <w:t xml:space="preserve"> </w:t>
      </w:r>
      <w:r>
        <w:t xml:space="preserve">equivalents)</w:t>
      </w:r>
      <w:r>
        <w:t xml:space="preserve"> </w:t>
      </w:r>
      <w:r>
        <w:t xml:space="preserve">and</w:t>
      </w:r>
      <w:r>
        <w:t xml:space="preserve"> </w:t>
      </w:r>
      <w:r>
        <w:t xml:space="preserve">the</w:t>
      </w:r>
      <w:r>
        <w:t xml:space="preserve"> </w:t>
      </w:r>
      <w:r>
        <w:t xml:space="preserve">addition</w:t>
      </w:r>
      <w:r>
        <w:t xml:space="preserve"> </w:t>
      </w:r>
      <w:r>
        <w:t xml:space="preserve">rate</w:t>
      </w:r>
      <w:r>
        <w:t xml:space="preserve"> </w:t>
      </w:r>
      <w:r>
        <w:t xml:space="preserve">(the</w:t>
      </w:r>
      <w:r>
        <w:t xml:space="preserve"> </w:t>
      </w:r>
      <w:r>
        <w:t xml:space="preserve">proportion</w:t>
      </w:r>
      <w:r>
        <w:t xml:space="preserve"> </w:t>
      </w:r>
      <w:r>
        <w:t xml:space="preserve">of</w:t>
      </w:r>
      <w:r>
        <w:t xml:space="preserve"> </w:t>
      </w:r>
      <w:r>
        <w:t xml:space="preserve">added</w:t>
      </w:r>
      <w:r>
        <w:t xml:space="preserve"> </w:t>
      </w:r>
      <w:r>
        <w:t xml:space="preserve">elements)</w:t>
      </w:r>
      <w:r>
        <w:t xml:space="preserve"> </w:t>
      </w:r>
      <w:r>
        <w:t xml:space="preserve">to</w:t>
      </w:r>
      <w:r>
        <w:t xml:space="preserve"> </w:t>
      </w:r>
      <w:r>
        <w:t xml:space="preserve">see</w:t>
      </w:r>
      <w:r>
        <w:t xml:space="preserve"> </w:t>
      </w:r>
      <w:r>
        <w:t xml:space="preserve">how</w:t>
      </w:r>
      <w:r>
        <w:t xml:space="preserve"> </w:t>
      </w:r>
      <w:r>
        <w:t xml:space="preserve">elements</w:t>
      </w:r>
      <w:r>
        <w:t xml:space="preserve"> </w:t>
      </w:r>
      <w:r>
        <w:t xml:space="preserve">were</w:t>
      </w:r>
      <w:r>
        <w:t xml:space="preserve"> </w:t>
      </w:r>
      <w:r>
        <w:t xml:space="preserve">incorporated.</w:t>
      </w:r>
      <w:r>
        <w:t xml:space="preserve"> </w:t>
      </w:r>
      <w:r>
        <w:t xml:space="preserve">Finally,</w:t>
      </w:r>
      <w:r>
        <w:t xml:space="preserve"> </w:t>
      </w:r>
      <w:r>
        <w:t xml:space="preserve">we</w:t>
      </w:r>
      <w:r>
        <w:t xml:space="preserve"> </w:t>
      </w:r>
      <w:r>
        <w:t xml:space="preserve">provide</w:t>
      </w:r>
      <w:r>
        <w:t xml:space="preserve"> </w:t>
      </w:r>
      <w:r>
        <w:t xml:space="preserve">case</w:t>
      </w:r>
      <w:r>
        <w:t xml:space="preserve"> </w:t>
      </w:r>
      <w:r>
        <w:t xml:space="preserve">analyses</w:t>
      </w:r>
      <w:r>
        <w:t xml:space="preserve"> </w:t>
      </w:r>
      <w:r>
        <w:t xml:space="preserve">of</w:t>
      </w:r>
      <w:r>
        <w:t xml:space="preserve"> </w:t>
      </w:r>
      <w:r>
        <w:t xml:space="preserve">specific</w:t>
      </w:r>
      <w:r>
        <w:t xml:space="preserve"> </w:t>
      </w:r>
      <w:r>
        <w:t xml:space="preserve">examples,</w:t>
      </w:r>
      <w:r>
        <w:t xml:space="preserve"> </w:t>
      </w:r>
      <w:r>
        <w:t xml:space="preserve">showing</w:t>
      </w:r>
      <w:r>
        <w:t xml:space="preserve"> </w:t>
      </w:r>
      <w:r>
        <w:t xml:space="preserve">how</w:t>
      </w:r>
      <w:r>
        <w:t xml:space="preserve"> </w:t>
      </w:r>
      <w:r>
        <w:t xml:space="preserve">corpus-level</w:t>
      </w:r>
      <w:r>
        <w:t xml:space="preserve"> </w:t>
      </w:r>
      <w:r>
        <w:t xml:space="preserve">co-occurrence</w:t>
      </w:r>
      <w:r>
        <w:t xml:space="preserve"> </w:t>
      </w:r>
      <w:r>
        <w:t xml:space="preserve">tendencies</w:t>
      </w:r>
      <w:r>
        <w:t xml:space="preserve"> </w:t>
      </w:r>
      <w:r>
        <w:t xml:space="preserve">influenced</w:t>
      </w:r>
      <w:r>
        <w:t xml:space="preserve"> </w:t>
      </w:r>
      <w:r>
        <w:t xml:space="preserve">the</w:t>
      </w:r>
      <w:r>
        <w:t xml:space="preserve"> </w:t>
      </w:r>
      <w:r>
        <w:t xml:space="preserve">addition</w:t>
      </w:r>
      <w:r>
        <w:t xml:space="preserve"> </w:t>
      </w:r>
      <w:r>
        <w:t xml:space="preserve">of</w:t>
      </w:r>
      <w:r>
        <w:t xml:space="preserve"> </w:t>
      </w:r>
      <w:r>
        <w:t xml:space="preserve">elements</w:t>
      </w:r>
      <w:r>
        <w:t xml:space="preserve"> </w:t>
      </w:r>
      <w:r>
        <w:t xml:space="preserve">to</w:t>
      </w:r>
      <w:r>
        <w:t xml:space="preserve"> </w:t>
      </w:r>
      <w:r>
        <w:t xml:space="preserve">clarify</w:t>
      </w:r>
      <w:r>
        <w:t xml:space="preserve"> </w:t>
      </w:r>
      <w:r>
        <w:t xml:space="preserve">meanings.</w:t>
      </w:r>
      <w:r>
        <w:t xml:space="preserve"> </w:t>
      </w:r>
      <w:r>
        <w:t xml:space="preserve">Our</w:t>
      </w:r>
      <w:r>
        <w:t xml:space="preserve"> </w:t>
      </w:r>
      <w:r>
        <w:t xml:space="preserve">findings</w:t>
      </w:r>
      <w:r>
        <w:t xml:space="preserve"> </w:t>
      </w:r>
      <w:r>
        <w:t xml:space="preserve">show</w:t>
      </w:r>
      <w:r>
        <w:t xml:space="preserve"> </w:t>
      </w:r>
      <w:r>
        <w:t xml:space="preserve">that</w:t>
      </w:r>
      <w:r>
        <w:t xml:space="preserve"> </w:t>
      </w:r>
      <w:r>
        <w:t xml:space="preserve">despite</w:t>
      </w:r>
      <w:r>
        <w:t xml:space="preserve"> </w:t>
      </w:r>
      <w:r>
        <w:t xml:space="preserve">varied</w:t>
      </w:r>
      <w:r>
        <w:t xml:space="preserve"> </w:t>
      </w:r>
      <w:r>
        <w:t xml:space="preserve">approaches,</w:t>
      </w:r>
      <w:r>
        <w:t xml:space="preserve"> </w:t>
      </w:r>
      <w:r>
        <w:t xml:space="preserve">the</w:t>
      </w:r>
      <w:r>
        <w:t xml:space="preserve"> </w:t>
      </w:r>
      <w:r>
        <w:t xml:space="preserve">translations</w:t>
      </w:r>
      <w:r>
        <w:t xml:space="preserve"> </w:t>
      </w:r>
      <w:r>
        <w:t xml:space="preserve">contain</w:t>
      </w:r>
      <w:r>
        <w:t xml:space="preserve"> </w:t>
      </w:r>
      <w:r>
        <w:t xml:space="preserve">similar</w:t>
      </w:r>
      <w:r>
        <w:t xml:space="preserve"> </w:t>
      </w:r>
      <w:r>
        <w:t xml:space="preserve">levels</w:t>
      </w:r>
      <w:r>
        <w:t xml:space="preserve"> </w:t>
      </w:r>
      <w:r>
        <w:t xml:space="preserve">of</w:t>
      </w:r>
      <w:r>
        <w:t xml:space="preserve"> </w:t>
      </w:r>
      <w:r>
        <w:t xml:space="preserve">added</w:t>
      </w:r>
      <w:r>
        <w:t xml:space="preserve"> </w:t>
      </w:r>
      <w:r>
        <w:t xml:space="preserve">elements,</w:t>
      </w:r>
      <w:r>
        <w:t xml:space="preserve"> </w:t>
      </w:r>
      <w:r>
        <w:t xml:space="preserve">suggesting</w:t>
      </w:r>
      <w:r>
        <w:t xml:space="preserve"> </w:t>
      </w:r>
      <w:r>
        <w:t xml:space="preserve">that</w:t>
      </w:r>
      <w:r>
        <w:t xml:space="preserve"> </w:t>
      </w:r>
      <w:r>
        <w:t xml:space="preserve">contemporary</w:t>
      </w:r>
      <w:r>
        <w:t xml:space="preserve"> </w:t>
      </w:r>
      <w:r>
        <w:t xml:space="preserve">translations</w:t>
      </w:r>
      <w:r>
        <w:t xml:space="preserve"> </w:t>
      </w:r>
      <w:r>
        <w:t xml:space="preserve">can</w:t>
      </w:r>
      <w:r>
        <w:t xml:space="preserve"> </w:t>
      </w:r>
      <w:r>
        <w:t xml:space="preserve">effectively</w:t>
      </w:r>
      <w:r>
        <w:t xml:space="preserve"> </w:t>
      </w:r>
      <w:r>
        <w:t xml:space="preserve">visualize</w:t>
      </w:r>
      <w:r>
        <w:t xml:space="preserve"> </w:t>
      </w:r>
      <w:r>
        <w:t xml:space="preserve">the</w:t>
      </w:r>
      <w:r>
        <w:t xml:space="preserve"> </w:t>
      </w:r>
      <w:r>
        <w:t xml:space="preserve">non-literal</w:t>
      </w:r>
      <w:r>
        <w:t xml:space="preserve"> </w:t>
      </w:r>
      <w:r>
        <w:t xml:space="preserve">aspects</w:t>
      </w:r>
      <w:r>
        <w:t xml:space="preserve"> </w:t>
      </w:r>
      <w:r>
        <w:t xml:space="preserve">of</w:t>
      </w:r>
      <w:r>
        <w:t xml:space="preserve"> </w:t>
      </w:r>
      <w:r>
        <w:t xml:space="preserve">the</w:t>
      </w:r>
      <w:r>
        <w:t xml:space="preserve"> </w:t>
      </w:r>
      <w:r>
        <w:t xml:space="preserve">Kokinshū’s</w:t>
      </w:r>
      <w:r>
        <w:t xml:space="preserve"> </w:t>
      </w:r>
      <w:r>
        <w:t xml:space="preserve">original</w:t>
      </w:r>
      <w:r>
        <w:t xml:space="preserve"> </w:t>
      </w:r>
      <w:r>
        <w:t xml:space="preserve">text.</w:t>
      </w:r>
    </w:p>
    <w:sdt>
      <w:sdtPr>
        <w:docPartObj>
          <w:docPartGallery w:val="Table of Contents"/>
          <w:docPartUnique/>
        </w:docPartObj>
      </w:sdtPr>
      <w:sdtContent>
        <w:p>
          <w:pPr>
            <w:pStyle w:val="TOCHeading"/>
          </w:pPr>
          <w:r>
            <w:t xml:space="preserve">目次</w:t>
          </w:r>
        </w:p>
        <w:p>
          <w:r>
            <w:fldChar w:fldCharType="begin" w:dirty="true"/>
            <w:instrText xml:space="preserve">TOC \o "1-3" \h \z \u</w:instrText>
            <w:fldChar w:fldCharType="separate"/>
            <w:fldChar w:fldCharType="end"/>
          </w:r>
        </w:p>
      </w:sdtContent>
    </w:sdt>
    <w:bookmarkStart w:id="33" w:name="はじめに"/>
    <w:p>
      <w:pPr>
        <w:pStyle w:val="Heading1"/>
      </w:pPr>
      <w:r>
        <w:t xml:space="preserve">1. はじめに</w:t>
      </w:r>
    </w:p>
    <w:bookmarkStart w:id="20" w:name="目的と結論の概要"/>
    <w:p>
      <w:pPr>
        <w:pStyle w:val="Heading2"/>
      </w:pPr>
      <w:r>
        <w:t xml:space="preserve">1.1 目的と結論の概要</w:t>
      </w:r>
    </w:p>
    <w:p>
      <w:pPr>
        <w:pStyle w:val="FirstParagraph"/>
      </w:pPr>
      <w:r>
        <w:t xml:space="preserve">本稿の目的は、和歌の現代語訳が、直訳や逐語訳であっても、訳者の意図が異なっても、ノンリテラル要素を補足する解釈材料として利用できるかを検討することである。この目的を達成するため、原文との不一致率と訳文における追加率を計算し、さらに具体的な事例を通じて追加要素の分析を行った。</w:t>
      </w:r>
    </w:p>
    <w:p>
      <w:pPr>
        <w:pStyle w:val="BodyText"/>
      </w:pPr>
      <w:r>
        <w:t xml:space="preserve">具体的には、和歌の現代語訳におけるノンリテラル要素の可視化とその応用可能性について検討した。古今和歌集の口語訳の歴史的な変遷を俯瞰し、20世紀における注釈書10種類の現代語訳に見られる翻訳アプローチを分類した。また、古語と現代語訳の語レベルの非一致率と現代語訳における追加率を計算し、翻訳アプローチにかかわらず、現代語訳にノンリテラル要素が追加されていることを確認した。これにより、現代語訳が直訳や逐語訳にとどまらず、原文の理解を補足する役割を果たしている可能性が示された。さらに、具体的な現代語訳の事例を提示し、対象語のコーパスレベルの共出現語、共出現語の全体的な志向性がセンテンスレベルの現代語訳それぞれに反映されているかどうかを検討した。以上の結果から、現代語訳をノンリテラル情報の可視化への応用が現実的であることを示した。</w:t>
      </w:r>
    </w:p>
    <w:bookmarkEnd w:id="20"/>
    <w:bookmarkStart w:id="24" w:name="背景"/>
    <w:p>
      <w:pPr>
        <w:pStyle w:val="Heading2"/>
      </w:pPr>
      <w:r>
        <w:t xml:space="preserve">1.2 背景</w:t>
      </w:r>
    </w:p>
    <w:p>
      <w:pPr>
        <w:pStyle w:val="FirstParagraph"/>
      </w:pPr>
      <w:r>
        <w:t xml:space="preserve">和歌に見られるノンリテラル要素の概要を説明し、現代語訳を用いたこれらの要素の可視化に関する問題や課題について述べる。これまでの研究において素材の分析が十分に行われていなかった点を指摘し、翻訳および関連研究の紹介を通して、その意義を再確認する。</w:t>
      </w:r>
    </w:p>
    <w:bookmarkStart w:id="22" w:name="和歌と和歌におけるノンリテラル要素"/>
    <w:p>
      <w:pPr>
        <w:pStyle w:val="Heading3"/>
      </w:pPr>
      <w:r>
        <w:t xml:space="preserve">1.2.1 和歌と和歌におけるノンリテラル要素</w:t>
      </w:r>
    </w:p>
    <w:p>
      <w:pPr>
        <w:pStyle w:val="FirstParagraph"/>
      </w:pPr>
      <w:r>
        <w:t xml:space="preserve">古今和歌集仮名序に見られるように、歌人は「心に思ふもの」を自然界の物事に託して表現することが多く、直接的に明言することは稀である。和歌のことば（以下「歌ことば」）を字義通りに理解したとしても、その「心に思ふもの」には直接アクセスすることはできない。例えば、古今集の恋の歌を例にとると、</w:t>
      </w:r>
    </w:p>
    <w:p>
      <w:pPr>
        <w:pStyle w:val="BlockText"/>
      </w:pPr>
      <w:r>
        <w:t xml:space="preserve">初雁の鳴きこそわたれ世の中の人の心の秋しうければ（古今・恋五・貫之）</w:t>
      </w:r>
    </w:p>
    <w:p>
      <w:pPr>
        <w:pStyle w:val="FirstParagraph"/>
      </w:pPr>
      <w:r>
        <w:t xml:space="preserve">この歌を字義通りに解釈すれば、各語の意味は理解できるかもしれないが、「心に思ふもの」を読み取ることは難しい</w:t>
      </w:r>
      <w:r>
        <w:rPr>
          <w:rStyle w:val="FootnoteReference"/>
        </w:rPr>
        <w:footnoteReference w:id="21"/>
      </w:r>
      <w:r>
        <w:t xml:space="preserve">。しかし、歌ことば辞典で「秋【あき】」</w:t>
      </w:r>
      <w:r>
        <w:t xml:space="preserve">(片桐 1983, 3)</w:t>
      </w:r>
      <w:r>
        <w:t xml:space="preserve"> </w:t>
      </w:r>
      <w:r>
        <w:t xml:space="preserve">を調べると、リテラルな意味では意図的に表現しない、あるいは客観的に表現できない情報が含まれていることに気づく。</w:t>
      </w:r>
    </w:p>
    <w:p>
      <w:pPr>
        <w:pStyle w:val="BlockText"/>
      </w:pPr>
      <w:r>
        <w:t xml:space="preserve">秋【あき】 […]「秋」と「飽」を掛け、過ぎ去ってゆく秋と過ぎ去ってゆく愛を惜しむことが多かった。【脚注】[雁の]「鳴く」を人が「泣く」と同列にしか把握しない […]</w:t>
      </w:r>
      <w:r>
        <w:t xml:space="preserve">(片桐 1983, 3)</w:t>
      </w:r>
    </w:p>
    <w:p>
      <w:pPr>
        <w:pStyle w:val="FirstParagraph"/>
      </w:pPr>
      <w:r>
        <w:t xml:space="preserve">片桐 (1983, 3)</w:t>
      </w:r>
      <w:r>
        <w:t xml:space="preserve"> </w:t>
      </w:r>
      <w:r>
        <w:t xml:space="preserve">によると、恋人の心が「飽き（秋）」て、歌人が「泣（鳴）」いている「失恋」の物語と解釈することができる。このように、「秋」という表現から読み取る「飽きる恋」の情報は、原文の文脈（周辺語）ではノンリテラルであり、語の字義通りの意味だけでは受け取れない。和歌の深い意味を引き出すためには、表面的な字義を超えたノンリテラルな解釈が求められることがわかる。</w:t>
      </w:r>
    </w:p>
    <w:bookmarkEnd w:id="22"/>
    <w:bookmarkStart w:id="23" w:name="現代語訳の追加要素に基づく歌ことばのノンリテラル要素の可視化"/>
    <w:p>
      <w:pPr>
        <w:pStyle w:val="Heading3"/>
      </w:pPr>
      <w:r>
        <w:t xml:space="preserve">1.2.2 現代語訳の追加要素に基づく歌ことばのノンリテラル要素の可視化</w:t>
      </w:r>
    </w:p>
    <w:p>
      <w:pPr>
        <w:pStyle w:val="FirstParagraph"/>
      </w:pPr>
      <w:r>
        <w:t xml:space="preserve">筆者らはこれまで、古今和歌集の10種類の現代日本語訳を基に、歌ことばのノンリテラル要素を可視化するシステムを開発してきた</w:t>
      </w:r>
      <w:r>
        <w:t xml:space="preserve"> </w:t>
      </w:r>
      <w:r>
        <w:t xml:space="preserve">(Yamamoto 2005, 2006; Chen, Yamamoto, and Hodošček 2024)</w:t>
      </w:r>
      <w:r>
        <w:t xml:space="preserve">。このシステムは、古語と現代語訳を比較し、浮かび上がる補足要素によってノンリテラル情報を可視化している。この手法は、</w:t>
      </w:r>
      <w:r>
        <w:t xml:space="preserve">近藤みゆき. (2001)</w:t>
      </w:r>
      <w:r>
        <w:t xml:space="preserve"> </w:t>
      </w:r>
      <w:r>
        <w:t xml:space="preserve">と</w:t>
      </w:r>
      <w:r>
        <w:t xml:space="preserve"> </w:t>
      </w:r>
      <w:r>
        <w:t xml:space="preserve">近藤泰弘. (2011)</w:t>
      </w:r>
      <w:r>
        <w:t xml:space="preserve"> </w:t>
      </w:r>
      <w:r>
        <w:t xml:space="preserve">によって「引き算」とも呼ばれている。ただし、引き算で残る現代語訳の追加要素がどのような性質を持ち、ノンリテラル要素として扱えるかについては、より詳細な検討が必要である。</w:t>
      </w:r>
      <w:r>
        <w:t xml:space="preserve"> </w:t>
      </w:r>
      <w:r>
        <w:t xml:space="preserve">翻訳における要素の追加について、</w:t>
      </w:r>
      <w:r>
        <w:t xml:space="preserve">Koller ([2004] 1979, 249)</w:t>
      </w:r>
      <w:r>
        <w:t xml:space="preserve"> </w:t>
      </w:r>
      <w:r>
        <w:t xml:space="preserve">は、翻訳者の「介入 (Eingriff)」であり、原作を尊重し、価値を変えない形で、読者の不足する背景知識やデノテーション・コノテーション情報、言語内的、社会文化的、間テキスト的な情報 (intertextual information) を補うことが含まれると指摘している</w:t>
      </w:r>
      <w:r>
        <w:t xml:space="preserve"> </w:t>
      </w:r>
      <w:r>
        <w:t xml:space="preserve">(Koller [2004] 1979, 249)</w:t>
      </w:r>
      <w:r>
        <w:t xml:space="preserve">。これにより、翻訳は注釈や辞書と同様に、ノンリテラル情報を解釈するための有効な資料となる。</w:t>
      </w:r>
      <w:r>
        <w:t xml:space="preserve"> </w:t>
      </w:r>
      <w:r>
        <w:t xml:space="preserve">しかし、翻訳の追加要素は、読者の理解力を過大評価または過小評価した結果として現れる場合もある</w:t>
      </w:r>
      <w:r>
        <w:t xml:space="preserve"> </w:t>
      </w:r>
      <w:r>
        <w:t xml:space="preserve">(Nida 1964, 155; Koller [2004] 1979, 249–50)</w:t>
      </w:r>
      <w:r>
        <w:t xml:space="preserve">。そのため、訳者による翻訳の追加要素のバリエーションを無視することはできない。古今和歌集の歌ことばを解釈する資料として現代語訳が有用であると</w:t>
      </w:r>
      <w:r>
        <w:t xml:space="preserve"> </w:t>
      </w:r>
      <w:r>
        <w:t xml:space="preserve">Chen, Yamamoto, and Hodošček (2024)</w:t>
      </w:r>
      <w:r>
        <w:t xml:space="preserve"> </w:t>
      </w:r>
      <w:r>
        <w:t xml:space="preserve">でも言及されているが、そのバリエーションについては十分な説明が行われていない。和歌の口語訳の背景や訳者毎の翻訳アプローチを再検討する必要がある。</w:t>
      </w:r>
      <w:r>
        <w:t xml:space="preserve"> </w:t>
      </w:r>
      <w:r>
        <w:t xml:space="preserve">本稿では、これまで使用してきた10種類の現代語訳について、その成立背景や追加要素の量的および質的な分析を行う。翻訳における追加要素が読者の理解力を反映して生成されたものである可能性を考慮し、異なる訳者が和歌のノンリテラル要素をどの程度表現できたかを検討する。訳者の翻訳アプローチを整理し、その違いを明らかにすることで、翻訳の普遍的な課題と限界を考察する。</w:t>
      </w:r>
      <w:r>
        <w:t xml:space="preserve"> </w:t>
      </w:r>
      <w:r>
        <w:t xml:space="preserve">この分析により、ノンリテラル要素の可視化システムの根拠をより明確にし、その改善の方向性を示すことができる。次節では、材料について説明を行う。</w:t>
      </w:r>
    </w:p>
    <w:bookmarkEnd w:id="23"/>
    <w:bookmarkEnd w:id="24"/>
    <w:bookmarkStart w:id="25" w:name="sec-materials"/>
    <w:p>
      <w:pPr>
        <w:pStyle w:val="Heading2"/>
      </w:pPr>
      <w:r>
        <w:t xml:space="preserve">1.3 データ：古今集、注釈と現代語訳</w:t>
      </w:r>
    </w:p>
    <w:p>
      <w:pPr>
        <w:pStyle w:val="FirstParagraph"/>
      </w:pPr>
      <w:r>
        <w:t xml:space="preserve">本節では、材料として使用する古今集の概要を説明し、和歌、古今集、注釈書、そしてその現代語訳の歴史的背景について概観する。</w:t>
      </w:r>
    </w:p>
    <w:bookmarkEnd w:id="25"/>
    <w:bookmarkStart w:id="26" w:name="古今集"/>
    <w:p>
      <w:pPr>
        <w:pStyle w:val="Heading2"/>
      </w:pPr>
      <w:r>
        <w:t xml:space="preserve">1.4 古今集</w:t>
      </w:r>
    </w:p>
    <w:p>
      <w:pPr>
        <w:pStyle w:val="FirstParagraph"/>
      </w:pPr>
      <w:r>
        <w:t xml:space="preserve">和歌は「歌」と称されるように、もともと宮廷で声を上げて詠まれるものであり、当時の話しことばが基礎となっている。古今集は、その名が示す通り、古代の歌と当時の歌を集めたものであり、『万葉集』に収められた7世紀から8世紀の和歌も含まれている。これには、山部赤人、柿本人麻呂、額田王など、和歌史において重要な歌人の作品が仮名で記録されている。</w:t>
      </w:r>
    </w:p>
    <w:p>
      <w:pPr>
        <w:pStyle w:val="BodyText"/>
      </w:pPr>
      <w:r>
        <w:t xml:space="preserve">また、古今集は、後に続く勅撰和歌集（二十一代集）の先駆けとして成立し、和歌の基本的な形式を確立した。編者である紀貫之による「仮名序」は、和歌の理論書としても位置付けられており、後の和歌文学や日本文学全般において重要な資料となっている。「源氏物語」「土佐日記」「伊勢物語」などの古典作品に多くの和歌が引用されていることからも、古今集は文学研究の基本資料としての役割を果たしている。また、話しことばの特徴を持つことから、日本語の歴史的変遷を知る上でも貴重な資料である。</w:t>
      </w:r>
    </w:p>
    <w:bookmarkEnd w:id="26"/>
    <w:bookmarkStart w:id="30" w:name="古今集の注釈と現代日本語訳"/>
    <w:p>
      <w:pPr>
        <w:pStyle w:val="Heading2"/>
      </w:pPr>
      <w:r>
        <w:t xml:space="preserve">1.5 古今集の注釈と現代日本語訳</w:t>
      </w:r>
    </w:p>
    <w:p>
      <w:pPr>
        <w:pStyle w:val="FirstParagraph"/>
      </w:pPr>
      <w:r>
        <w:t xml:space="preserve">古今集は、日本古典文学の中で多くの注釈書を生み出しており、それ自体が一つの研究分野として確立されている</w:t>
      </w:r>
      <w:r>
        <w:t xml:space="preserve"> </w:t>
      </w:r>
      <w:r>
        <w:t xml:space="preserve">(窪田 1960, 上中下:319)</w:t>
      </w:r>
      <w:r>
        <w:t xml:space="preserve">。これらの注釈書に含まれる現代語訳は、主に読者が和歌を理解しやすくするために書かれており、翻訳家の目的は和歌の解釈を伝えることにある。ここでは、近代以前と近代以降の注釈の歴史を簡単に概観し、特に明治以降に注釈書に掲載された現代語訳について考察する。</w:t>
      </w:r>
    </w:p>
    <w:p>
      <w:pPr>
        <w:pStyle w:val="BodyText"/>
      </w:pPr>
      <w:r>
        <w:t xml:space="preserve">近代（1868年）以前には、多くの古今集の注釈書が出版されており、1600年から1868年の間に70以上の注釈書が存在している</w:t>
      </w:r>
      <w:r>
        <w:t xml:space="preserve"> </w:t>
      </w:r>
      <w:r>
        <w:t xml:space="preserve">(小島 and 新井 1989, 447–50)</w:t>
      </w:r>
      <w:r>
        <w:t xml:space="preserve">。表</w:t>
      </w:r>
      <w:r>
        <w:t xml:space="preserve"> </w:t>
      </w:r>
      <w:hyperlink w:anchor="tbl-annotation">
        <w:r>
          <w:rPr>
            <w:rStyle w:val="Hyperlink"/>
          </w:rPr>
          <w:t xml:space="preserve">Table 1</w:t>
        </w:r>
      </w:hyperlink>
      <w:r>
        <w:t xml:space="preserve"> </w:t>
      </w:r>
      <w:r>
        <w:t xml:space="preserve">に、近代以前の代表的な注釈書を5つ示す。</w:t>
      </w:r>
    </w:p>
    <w:p>
      <w:pPr>
        <w:pStyle w:val="BodyText"/>
      </w:pPr>
      <w:r>
        <w:t xml:space="preserve">北村季吟の『八代集抄』は、古今集を含む8つの勅撰和歌集</w:t>
      </w:r>
      <w:r>
        <w:rPr>
          <w:rStyle w:val="FootnoteReference"/>
        </w:rPr>
        <w:footnoteReference w:id="27"/>
      </w:r>
      <w:r>
        <w:t xml:space="preserve">を対象とした注釈書であり、108巻（50冊）にも及ぶ大著である。契沖（1640–1701）の『古今和歌集余材抄』は、初の本格的な古今集の研究書であり</w:t>
      </w:r>
      <w:r>
        <w:t xml:space="preserve"> </w:t>
      </w:r>
      <w:r>
        <w:t xml:space="preserve">(小沢 1971, 36)</w:t>
      </w:r>
      <w:r>
        <w:t xml:space="preserve">、その後の注釈の基礎を築いた。賀茂真淵（1697–1767）の『古今和歌集打聴』は、契沖の研究を継承しつつも、古今集以前の歌、特に万葉集に焦点を当てている。</w:t>
      </w:r>
    </w:p>
    <w:p>
      <w:pPr>
        <w:pStyle w:val="BodyText"/>
      </w:pPr>
      <w:r>
        <w:t xml:space="preserve">本居宣長の『古今和歌集遠鏡』は、すべての和歌を当時の口語に翻訳する試みであったが</w:t>
      </w:r>
      <w:r>
        <w:rPr>
          <w:rStyle w:val="FootnoteReference"/>
        </w:rPr>
        <w:footnoteReference w:id="28"/>
      </w:r>
      <w:r>
        <w:t xml:space="preserve">、その目的は他の注釈書とは異なっている。香川景樹（1768–1843）の『古今和歌集正義』は、従来の注釈書を強く批判し、新しい視点を提示している</w:t>
      </w:r>
      <w:r>
        <w:t xml:space="preserve"> </w:t>
      </w:r>
      <w:r>
        <w:t xml:space="preserve">(小沢 1971, 36; 松田 1968, 上下:58)</w:t>
      </w:r>
      <w:r>
        <w:t xml:space="preserve">。これらの注釈書は、後の注釈書に大きな影響を与え続けている。</w:t>
      </w:r>
    </w:p>
    <w:p>
      <w:pPr>
        <w:pStyle w:val="BodyText"/>
      </w:pPr>
      <w:r>
        <w:t xml:space="preserve">現代においても、古今集の注釈書は重版や改訂を重ね、30以上の注釈書が存在している。</w:t>
      </w:r>
    </w:p>
    <w:tbl>
      <w:tblPr>
        <w:tblStyle w:val="Table"/>
        <w:tblW w:type="pct" w:w="5000"/>
        <w:jc w:val="left"/>
        <w:tblLayout w:type="fixed"/>
        <w:tblLook w:firstRow="0" w:lastRow="0" w:firstColumn="0" w:lastColumn="0" w:noHBand="0" w:noVBand="0" w:val="0000"/>
      </w:tblPr>
      <w:tblGrid>
        <w:gridCol w:w="7920"/>
      </w:tblGrid>
      <w:tr>
        <w:tc>
          <w:tcPr/>
          <w:bookmarkStart w:id="29" w:name="tbl-annotation"/>
          <w:p>
            <w:pPr>
              <w:jc w:val="center"/>
            </w:pPr>
            <w:pPr>
              <w:jc w:val="start"/>
              <w:spacing w:before="200"/>
              <w:pStyle w:val="ImageCaption"/>
            </w:pPr>
            <w:r>
              <w:t xml:space="preserve">Table 1:</w:t>
            </w:r>
            <w:r>
              <w:t xml:space="preserve"> </w:t>
            </w:r>
            <w:r>
              <w:t xml:space="preserve">近代前（1600–1868）の古今集の代表的な注釈書 Representative annotation books of</w:t>
            </w:r>
            <w:r>
              <w:t xml:space="preserve"> </w:t>
            </w:r>
            <w:r>
              <w:rPr>
                <w:i/>
                <w:iCs/>
              </w:rPr>
              <w:t xml:space="preserve">Kokinshū</w:t>
            </w:r>
            <w:r>
              <w:t xml:space="preserve"> </w:t>
            </w:r>
            <w:r>
              <w:t xml:space="preserve">before modern times (1600–1868)</w:t>
            </w:r>
          </w:p>
          <w:tbl>
            <w:tblPr>
              <w:tblStyle w:val="Table"/>
              <w:tblW w:type="pct" w:w="5000"/>
              <w:jc w:val="left"/>
              <w:tblLayout w:type="fixed"/>
              <w:tblLook w:firstRow="1" w:lastRow="0" w:firstColumn="0" w:lastColumn="0" w:noHBand="0" w:noVBand="0" w:val="0020"/>
            </w:tblPr>
            <w:tblGrid>
              <w:gridCol w:w="2807"/>
              <w:gridCol w:w="601"/>
              <w:gridCol w:w="4511"/>
            </w:tblGrid>
            <w:tr>
              <w:trPr>
                <w:tblHeader w:val="on"/>
              </w:trPr>
              <w:tc>
                <w:tcPr/>
                <w:p>
                  <w:pPr>
                    <w:pStyle w:val="Compact"/>
                    <w:jc w:val="left"/>
                    <w:jc w:val="center"/>
                  </w:pPr>
                  <w:r>
                    <w:t xml:space="preserve">Author 著者</w:t>
                  </w:r>
                </w:p>
              </w:tc>
              <w:tc>
                <w:tcPr/>
                <w:p>
                  <w:pPr>
                    <w:pStyle w:val="Compact"/>
                    <w:jc w:val="left"/>
                    <w:jc w:val="center"/>
                  </w:pPr>
                  <w:r>
                    <w:t xml:space="preserve">Year 発行年</w:t>
                  </w:r>
                </w:p>
              </w:tc>
              <w:tc>
                <w:tcPr/>
                <w:p>
                  <w:pPr>
                    <w:pStyle w:val="Compact"/>
                    <w:jc w:val="left"/>
                    <w:jc w:val="center"/>
                  </w:pPr>
                  <w:r>
                    <w:t xml:space="preserve">Annotation book title 注釈書名</w:t>
                  </w:r>
                </w:p>
              </w:tc>
            </w:tr>
            <w:tr>
              <w:tc>
                <w:tcPr/>
                <w:p>
                  <w:pPr>
                    <w:pStyle w:val="Compact"/>
                    <w:jc w:val="left"/>
                    <w:jc w:val="center"/>
                  </w:pPr>
                  <w:r>
                    <w:t xml:space="preserve">Kitamura Kigin 北村季吟</w:t>
                  </w:r>
                </w:p>
              </w:tc>
              <w:tc>
                <w:tcPr/>
                <w:p>
                  <w:pPr>
                    <w:pStyle w:val="Compact"/>
                    <w:jc w:val="left"/>
                    <w:jc w:val="center"/>
                  </w:pPr>
                  <w:r>
                    <w:t xml:space="preserve">1682</w:t>
                  </w:r>
                </w:p>
              </w:tc>
              <w:tc>
                <w:tcPr/>
                <w:p>
                  <w:pPr>
                    <w:pStyle w:val="Compact"/>
                    <w:jc w:val="left"/>
                    <w:jc w:val="center"/>
                  </w:pPr>
                  <w:r>
                    <w:rPr>
                      <w:i/>
                      <w:iCs/>
                    </w:rPr>
                    <w:t xml:space="preserve">Hachidaishūshō</w:t>
                  </w:r>
                  <w:r>
                    <w:t xml:space="preserve"> </w:t>
                  </w:r>
                  <w:r>
                    <w:t xml:space="preserve">八代集抄</w:t>
                  </w:r>
                </w:p>
              </w:tc>
            </w:tr>
            <w:tr>
              <w:tc>
                <w:tcPr/>
                <w:p>
                  <w:pPr>
                    <w:pStyle w:val="Compact"/>
                    <w:jc w:val="left"/>
                    <w:jc w:val="center"/>
                  </w:pPr>
                  <w:r>
                    <w:t xml:space="preserve">Keichū 契沖</w:t>
                  </w:r>
                </w:p>
              </w:tc>
              <w:tc>
                <w:tcPr/>
                <w:p>
                  <w:pPr>
                    <w:pStyle w:val="Compact"/>
                    <w:jc w:val="left"/>
                    <w:jc w:val="center"/>
                  </w:pPr>
                  <w:r>
                    <w:t xml:space="preserve">1692</w:t>
                  </w:r>
                </w:p>
              </w:tc>
              <w:tc>
                <w:tcPr/>
                <w:p>
                  <w:pPr>
                    <w:pStyle w:val="Compact"/>
                    <w:jc w:val="left"/>
                    <w:jc w:val="center"/>
                  </w:pPr>
                  <w:r>
                    <w:rPr>
                      <w:i/>
                      <w:iCs/>
                    </w:rPr>
                    <w:t xml:space="preserve">Kokinwakashū Yozaishō</w:t>
                  </w:r>
                  <w:r>
                    <w:t xml:space="preserve"> </w:t>
                  </w:r>
                  <w:r>
                    <w:t xml:space="preserve">古今和歌集余材抄</w:t>
                  </w:r>
                </w:p>
              </w:tc>
            </w:tr>
            <w:tr>
              <w:tc>
                <w:tcPr/>
                <w:p>
                  <w:pPr>
                    <w:pStyle w:val="Compact"/>
                    <w:jc w:val="left"/>
                    <w:jc w:val="center"/>
                  </w:pPr>
                  <w:r>
                    <w:t xml:space="preserve">Kamo no Mabuchi 賀茂真淵</w:t>
                  </w:r>
                </w:p>
              </w:tc>
              <w:tc>
                <w:tcPr/>
                <w:p>
                  <w:pPr>
                    <w:pStyle w:val="Compact"/>
                    <w:jc w:val="left"/>
                    <w:jc w:val="center"/>
                  </w:pPr>
                  <w:r>
                    <w:t xml:space="preserve">1784</w:t>
                  </w:r>
                </w:p>
              </w:tc>
              <w:tc>
                <w:tcPr/>
                <w:p>
                  <w:pPr>
                    <w:pStyle w:val="Compact"/>
                    <w:jc w:val="left"/>
                    <w:jc w:val="center"/>
                  </w:pPr>
                  <w:r>
                    <w:rPr>
                      <w:i/>
                      <w:iCs/>
                    </w:rPr>
                    <w:t xml:space="preserve">Kokinwakashū Uchigiki</w:t>
                  </w:r>
                  <w:r>
                    <w:t xml:space="preserve"> </w:t>
                  </w:r>
                  <w:r>
                    <w:t xml:space="preserve">古今和歌集打聴</w:t>
                  </w:r>
                </w:p>
              </w:tc>
            </w:tr>
            <w:tr>
              <w:tc>
                <w:tcPr/>
                <w:p>
                  <w:pPr>
                    <w:pStyle w:val="Compact"/>
                    <w:jc w:val="left"/>
                    <w:jc w:val="center"/>
                  </w:pPr>
                  <w:r>
                    <w:t xml:space="preserve">Motoori Norinaga 本居宣長</w:t>
                  </w:r>
                </w:p>
              </w:tc>
              <w:tc>
                <w:tcPr/>
                <w:p>
                  <w:pPr>
                    <w:pStyle w:val="Compact"/>
                    <w:jc w:val="left"/>
                    <w:jc w:val="center"/>
                  </w:pPr>
                  <w:r>
                    <w:t xml:space="preserve">1793?</w:t>
                  </w:r>
                </w:p>
              </w:tc>
              <w:tc>
                <w:tcPr/>
                <w:p>
                  <w:pPr>
                    <w:pStyle w:val="Compact"/>
                    <w:jc w:val="left"/>
                    <w:jc w:val="center"/>
                  </w:pPr>
                  <w:r>
                    <w:rPr>
                      <w:i/>
                      <w:iCs/>
                    </w:rPr>
                    <w:t xml:space="preserve">Kokinwakashū Tōkagami</w:t>
                  </w:r>
                  <w:r>
                    <w:t xml:space="preserve"> </w:t>
                  </w:r>
                  <w:r>
                    <w:t xml:space="preserve">古今和歌集遠鏡</w:t>
                  </w:r>
                </w:p>
              </w:tc>
            </w:tr>
            <w:tr>
              <w:tc>
                <w:tcPr/>
                <w:p>
                  <w:pPr>
                    <w:pStyle w:val="Compact"/>
                    <w:jc w:val="left"/>
                    <w:jc w:val="center"/>
                  </w:pPr>
                  <w:r>
                    <w:t xml:space="preserve">Kagawa Kageki 香川景樹</w:t>
                  </w:r>
                </w:p>
              </w:tc>
              <w:tc>
                <w:tcPr/>
                <w:p>
                  <w:pPr>
                    <w:pStyle w:val="Compact"/>
                    <w:jc w:val="left"/>
                    <w:jc w:val="center"/>
                  </w:pPr>
                  <w:r>
                    <w:t xml:space="preserve">1832</w:t>
                  </w:r>
                </w:p>
              </w:tc>
              <w:tc>
                <w:tcPr/>
                <w:p>
                  <w:pPr>
                    <w:pStyle w:val="Compact"/>
                    <w:jc w:val="left"/>
                    <w:jc w:val="center"/>
                  </w:pPr>
                  <w:r>
                    <w:rPr>
                      <w:i/>
                      <w:iCs/>
                    </w:rPr>
                    <w:t xml:space="preserve">Kokinwakashū Seigi</w:t>
                  </w:r>
                  <w:r>
                    <w:t xml:space="preserve"> </w:t>
                  </w:r>
                  <w:r>
                    <w:t xml:space="preserve">古今和歌集正義</w:t>
                  </w:r>
                </w:p>
              </w:tc>
            </w:tr>
          </w:tbl>
          <w:bookmarkEnd w:id="29"/>
          <w:p/>
        </w:tc>
      </w:tr>
    </w:tbl>
    <w:bookmarkEnd w:id="30"/>
    <w:bookmarkStart w:id="32" w:name="世紀の注釈における現代語訳とデータの概要"/>
    <w:p>
      <w:pPr>
        <w:pStyle w:val="Heading2"/>
      </w:pPr>
      <w:r>
        <w:t xml:space="preserve">1.6 20世紀の注釈における現代語訳とデータの概要</w:t>
      </w:r>
    </w:p>
    <w:p>
      <w:pPr>
        <w:pStyle w:val="FirstParagraph"/>
      </w:pPr>
      <w:r>
        <w:t xml:space="preserve">21世紀に入っても、現代語訳を含む多くの注釈書が出版されているが、これまでの可視化システムの研究では、近代以降に出版された古今集の現代語訳に焦点を当ててきた</w:t>
      </w:r>
      <w:r>
        <w:t xml:space="preserve"> </w:t>
      </w:r>
      <w:hyperlink w:anchor="tbl-CT-data">
        <w:r>
          <w:rPr>
            <w:rStyle w:val="Hyperlink"/>
          </w:rPr>
          <w:t xml:space="preserve">Table 2</w:t>
        </w:r>
      </w:hyperlink>
      <w:r>
        <w:t xml:space="preserve">。これらの現代語訳は本研究の対象であり、データとしても使用されている。</w:t>
      </w:r>
    </w:p>
    <w:p>
      <w:pPr>
        <w:pStyle w:val="BodyText"/>
      </w:pPr>
      <w:r>
        <w:t xml:space="preserve">データフォーマットは、</w:t>
      </w:r>
      <w:r>
        <w:t xml:space="preserve">Hodošček and Yamamoto (2022)</w:t>
      </w:r>
      <w:r>
        <w:t xml:space="preserve"> </w:t>
      </w:r>
      <w:r>
        <w:t xml:space="preserve">による space-delimited format に準拠しており、トークンタイプの識別子（メタコード）として旧分類語彙表番号を使用している。データセットの特徴として、多義語には複数の分類語彙表番号が付与され、複合語についてはその下位分解も同時に提供されている。これにより、様々な基準でフレキシブルな分析が可能となっている。</w:t>
      </w:r>
    </w:p>
    <w:p>
      <w:pPr>
        <w:pStyle w:val="BodyText"/>
      </w:pPr>
      <w:r>
        <w:t xml:space="preserve">ただし、これらの注釈書から文字化されたデータには、和歌の現代語訳に関する著作権、校訂著作権、翻刻著作権などが含まれるため、すべてのデータを公開することはできない。</w:t>
      </w:r>
    </w:p>
    <w:tbl>
      <w:tblPr>
        <w:tblStyle w:val="Table"/>
        <w:tblW w:type="pct" w:w="5000"/>
        <w:jc w:val="left"/>
        <w:tblLayout w:type="fixed"/>
        <w:tblLook w:firstRow="0" w:lastRow="0" w:firstColumn="0" w:lastColumn="0" w:noHBand="0" w:noVBand="0" w:val="0000"/>
      </w:tblPr>
      <w:tblGrid>
        <w:gridCol w:w="7920"/>
      </w:tblGrid>
      <w:tr>
        <w:tc>
          <w:tcPr/>
          <w:bookmarkStart w:id="31" w:name="tbl-CT-data"/>
          <w:p>
            <w:pPr>
              <w:jc w:val="center"/>
            </w:pPr>
            <w:pPr>
              <w:jc w:val="start"/>
              <w:spacing w:before="200"/>
              <w:pStyle w:val="ImageCaption"/>
            </w:pPr>
            <w:r>
              <w:t xml:space="preserve">Table 2:</w:t>
            </w:r>
            <w:r>
              <w:t xml:space="preserve"> </w:t>
            </w:r>
            <w:r>
              <w:t xml:space="preserve">古今和歌集の短歌の20世紀の現代語訳 10 種：トークン・タイプ数の集計においては、複合表現の場合、その下位分解をカウントしていない Summary of 10 modern Japanese translations of</w:t>
            </w:r>
            <w:r>
              <w:t xml:space="preserve"> </w:t>
            </w:r>
            <w:r>
              <w:rPr>
                <w:i/>
                <w:iCs/>
              </w:rPr>
              <w:t xml:space="preserve">Kokin Wakashū</w:t>
            </w:r>
            <w:r>
              <w:t xml:space="preserve"> </w:t>
            </w:r>
            <w:r>
              <w:t xml:space="preserve">from the 20th century: Token and type counts exclude decomposition of compound expressions.</w:t>
            </w:r>
          </w:p>
          <w:tbl>
            <w:tblPr>
              <w:tblStyle w:val="Table"/>
              <w:tblW w:type="pct" w:w="5000"/>
              <w:jc w:val="left"/>
              <w:tblLayout w:type="fixed"/>
              <w:tblLook w:firstRow="1" w:lastRow="0" w:firstColumn="0" w:lastColumn="0" w:noHBand="0" w:noVBand="0" w:val="0020"/>
            </w:tblPr>
            <w:tblGrid>
              <w:gridCol w:w="460"/>
              <w:gridCol w:w="644"/>
              <w:gridCol w:w="1841"/>
              <w:gridCol w:w="1197"/>
              <w:gridCol w:w="1197"/>
              <w:gridCol w:w="1105"/>
              <w:gridCol w:w="1473"/>
            </w:tblGrid>
            <w:tr>
              <w:trPr>
                <w:tblHeader w:val="on"/>
              </w:trPr>
              <w:tc>
                <w:tcPr/>
                <w:p>
                  <w:pPr>
                    <w:pStyle w:val="Compact"/>
                  </w:pPr>
                </w:p>
              </w:tc>
              <w:tc>
                <w:tcPr/>
                <w:p>
                  <w:pPr>
                    <w:pStyle w:val="Compact"/>
                    <w:jc w:val="left"/>
                    <w:jc w:val="center"/>
                  </w:pPr>
                  <w:r>
                    <w:t xml:space="preserve">Abbr. 略号</w:t>
                  </w:r>
                </w:p>
              </w:tc>
              <w:tc>
                <w:tcPr/>
                <w:p>
                  <w:pPr>
                    <w:pStyle w:val="Compact"/>
                    <w:jc w:val="left"/>
                    <w:jc w:val="center"/>
                  </w:pPr>
                  <w:r>
                    <w:t xml:space="preserve">Annotation book 注釈書</w:t>
                  </w:r>
                </w:p>
              </w:tc>
              <w:tc>
                <w:tcPr/>
                <w:p>
                  <w:pPr>
                    <w:pStyle w:val="Compact"/>
                    <w:jc w:val="left"/>
                    <w:jc w:val="center"/>
                  </w:pPr>
                  <w:r>
                    <w:t xml:space="preserve">Manuscript 底本</w:t>
                  </w:r>
                </w:p>
              </w:tc>
              <w:tc>
                <w:tcPr/>
                <w:p>
                  <w:pPr>
                    <w:pStyle w:val="Compact"/>
                    <w:jc w:val="right"/>
                    <w:jc w:val="center"/>
                  </w:pPr>
                  <w:r>
                    <w:t xml:space="preserve">Token count トークン数</w:t>
                  </w:r>
                </w:p>
              </w:tc>
              <w:tc>
                <w:tcPr/>
                <w:p>
                  <w:pPr>
                    <w:pStyle w:val="Compact"/>
                    <w:jc w:val="right"/>
                    <w:jc w:val="center"/>
                  </w:pPr>
                  <w:r>
                    <w:t xml:space="preserve">Type count タイプ数</w:t>
                  </w:r>
                </w:p>
              </w:tc>
              <w:tc>
                <w:tcPr/>
                <w:p>
                  <w:pPr>
                    <w:pStyle w:val="Compact"/>
                    <w:jc w:val="right"/>
                    <w:jc w:val="center"/>
                  </w:pPr>
                  <w:r>
                    <w:t xml:space="preserve">Document count 文書数</w:t>
                  </w:r>
                </w:p>
              </w:tc>
            </w:tr>
            <w:tr>
              <w:tc>
                <w:tcPr/>
                <w:p>
                  <w:pPr>
                    <w:pStyle w:val="Compact"/>
                    <w:jc w:val="left"/>
                    <w:jc w:val="center"/>
                  </w:pPr>
                  <w:r>
                    <w:t xml:space="preserve">1</w:t>
                  </w:r>
                </w:p>
              </w:tc>
              <w:tc>
                <w:tcPr/>
                <w:p>
                  <w:pPr>
                    <w:pStyle w:val="Compact"/>
                    <w:jc w:val="left"/>
                    <w:jc w:val="center"/>
                  </w:pPr>
                  <w:r>
                    <w:t xml:space="preserve">KNK</w:t>
                  </w:r>
                </w:p>
              </w:tc>
              <w:tc>
                <w:tcPr/>
                <w:p>
                  <w:pPr>
                    <w:pStyle w:val="Compact"/>
                    <w:jc w:val="left"/>
                    <w:jc w:val="center"/>
                  </w:pPr>
                  <w:r>
                    <w:t xml:space="preserve">金子 (1933)</w:t>
                  </w:r>
                </w:p>
              </w:tc>
              <w:tc>
                <w:tcPr/>
                <w:p>
                  <w:pPr>
                    <w:pStyle w:val="Compact"/>
                    <w:jc w:val="left"/>
                    <w:jc w:val="center"/>
                  </w:pPr>
                  <w:r>
                    <w:t xml:space="preserve">Teika 定家</w:t>
                  </w:r>
                </w:p>
              </w:tc>
              <w:tc>
                <w:tcPr/>
                <w:p>
                  <w:pPr>
                    <w:pStyle w:val="Compact"/>
                    <w:jc w:val="right"/>
                    <w:jc w:val="center"/>
                  </w:pPr>
                  <w:r>
                    <w:t xml:space="preserve">42,439</w:t>
                  </w:r>
                </w:p>
              </w:tc>
              <w:tc>
                <w:tcPr/>
                <w:p>
                  <w:pPr>
                    <w:pStyle w:val="Compact"/>
                    <w:jc w:val="right"/>
                    <w:jc w:val="center"/>
                  </w:pPr>
                  <w:r>
                    <w:t xml:space="preserve">3,356</w:t>
                  </w:r>
                </w:p>
              </w:tc>
              <w:tc>
                <w:tcPr/>
                <w:p>
                  <w:pPr>
                    <w:pStyle w:val="Compact"/>
                    <w:jc w:val="right"/>
                    <w:jc w:val="center"/>
                  </w:pPr>
                  <w:r>
                    <w:t xml:space="preserve">1,000</w:t>
                  </w:r>
                </w:p>
              </w:tc>
            </w:tr>
            <w:tr>
              <w:tc>
                <w:tcPr/>
                <w:p>
                  <w:pPr>
                    <w:pStyle w:val="Compact"/>
                    <w:jc w:val="left"/>
                    <w:jc w:val="center"/>
                  </w:pPr>
                  <w:r>
                    <w:t xml:space="preserve">2</w:t>
                  </w:r>
                </w:p>
              </w:tc>
              <w:tc>
                <w:tcPr/>
                <w:p>
                  <w:pPr>
                    <w:pStyle w:val="Compact"/>
                    <w:jc w:val="left"/>
                    <w:jc w:val="center"/>
                  </w:pPr>
                  <w:r>
                    <w:t xml:space="preserve">KBT</w:t>
                  </w:r>
                </w:p>
              </w:tc>
              <w:tc>
                <w:tcPr/>
                <w:p>
                  <w:pPr>
                    <w:pStyle w:val="Compact"/>
                    <w:jc w:val="left"/>
                    <w:jc w:val="center"/>
                  </w:pPr>
                  <w:r>
                    <w:t xml:space="preserve">窪田 (1960)</w:t>
                  </w:r>
                </w:p>
              </w:tc>
              <w:tc>
                <w:tcPr/>
                <w:p>
                  <w:pPr>
                    <w:pStyle w:val="Compact"/>
                    <w:jc w:val="left"/>
                    <w:jc w:val="center"/>
                  </w:pPr>
                  <w:r>
                    <w:t xml:space="preserve">Teika 定家</w:t>
                  </w:r>
                </w:p>
              </w:tc>
              <w:tc>
                <w:tcPr/>
                <w:p>
                  <w:pPr>
                    <w:pStyle w:val="Compact"/>
                    <w:jc w:val="right"/>
                    <w:jc w:val="center"/>
                  </w:pPr>
                  <w:r>
                    <w:t xml:space="preserve">32,210</w:t>
                  </w:r>
                </w:p>
              </w:tc>
              <w:tc>
                <w:tcPr/>
                <w:p>
                  <w:pPr>
                    <w:pStyle w:val="Compact"/>
                    <w:jc w:val="right"/>
                    <w:jc w:val="center"/>
                  </w:pPr>
                  <w:r>
                    <w:t xml:space="preserve">2,701</w:t>
                  </w:r>
                </w:p>
              </w:tc>
              <w:tc>
                <w:tcPr/>
                <w:p>
                  <w:pPr>
                    <w:pStyle w:val="Compact"/>
                    <w:jc w:val="right"/>
                    <w:jc w:val="center"/>
                  </w:pPr>
                  <w:r>
                    <w:t xml:space="preserve">1,000</w:t>
                  </w:r>
                </w:p>
              </w:tc>
            </w:tr>
            <w:tr>
              <w:tc>
                <w:tcPr/>
                <w:p>
                  <w:pPr>
                    <w:pStyle w:val="Compact"/>
                    <w:jc w:val="left"/>
                    <w:jc w:val="center"/>
                  </w:pPr>
                  <w:r>
                    <w:t xml:space="preserve">3</w:t>
                  </w:r>
                </w:p>
              </w:tc>
              <w:tc>
                <w:tcPr/>
                <w:p>
                  <w:pPr>
                    <w:pStyle w:val="Compact"/>
                    <w:jc w:val="left"/>
                    <w:jc w:val="center"/>
                  </w:pPr>
                  <w:r>
                    <w:t xml:space="preserve">MTD</w:t>
                  </w:r>
                </w:p>
              </w:tc>
              <w:tc>
                <w:tcPr/>
                <w:p>
                  <w:pPr>
                    <w:pStyle w:val="Compact"/>
                    <w:jc w:val="left"/>
                    <w:jc w:val="center"/>
                  </w:pPr>
                  <w:r>
                    <w:t xml:space="preserve">松田 (1968)</w:t>
                  </w:r>
                </w:p>
              </w:tc>
              <w:tc>
                <w:tcPr/>
                <w:p>
                  <w:pPr>
                    <w:pStyle w:val="Compact"/>
                    <w:jc w:val="left"/>
                    <w:jc w:val="center"/>
                  </w:pPr>
                  <w:r>
                    <w:t xml:space="preserve">Teika 定家</w:t>
                  </w:r>
                </w:p>
              </w:tc>
              <w:tc>
                <w:tcPr/>
                <w:p>
                  <w:pPr>
                    <w:pStyle w:val="Compact"/>
                    <w:jc w:val="right"/>
                    <w:jc w:val="center"/>
                  </w:pPr>
                  <w:r>
                    <w:t xml:space="preserve">31,860</w:t>
                  </w:r>
                </w:p>
              </w:tc>
              <w:tc>
                <w:tcPr/>
                <w:p>
                  <w:pPr>
                    <w:pStyle w:val="Compact"/>
                    <w:jc w:val="right"/>
                    <w:jc w:val="center"/>
                  </w:pPr>
                  <w:r>
                    <w:t xml:space="preserve">3,007</w:t>
                  </w:r>
                </w:p>
              </w:tc>
              <w:tc>
                <w:tcPr/>
                <w:p>
                  <w:pPr>
                    <w:pStyle w:val="Compact"/>
                    <w:jc w:val="right"/>
                    <w:jc w:val="center"/>
                  </w:pPr>
                  <w:r>
                    <w:t xml:space="preserve">1,000</w:t>
                  </w:r>
                </w:p>
              </w:tc>
            </w:tr>
            <w:tr>
              <w:tc>
                <w:tcPr/>
                <w:p>
                  <w:pPr>
                    <w:pStyle w:val="Compact"/>
                    <w:jc w:val="left"/>
                    <w:jc w:val="center"/>
                  </w:pPr>
                  <w:r>
                    <w:t xml:space="preserve">4</w:t>
                  </w:r>
                </w:p>
              </w:tc>
              <w:tc>
                <w:tcPr/>
                <w:p>
                  <w:pPr>
                    <w:pStyle w:val="Compact"/>
                    <w:jc w:val="left"/>
                    <w:jc w:val="center"/>
                  </w:pPr>
                  <w:r>
                    <w:t xml:space="preserve">OZW</w:t>
                  </w:r>
                </w:p>
              </w:tc>
              <w:tc>
                <w:tcPr/>
                <w:p>
                  <w:pPr>
                    <w:pStyle w:val="Compact"/>
                    <w:jc w:val="left"/>
                    <w:jc w:val="center"/>
                  </w:pPr>
                  <w:r>
                    <w:t xml:space="preserve">小沢 (1971)</w:t>
                  </w:r>
                </w:p>
              </w:tc>
              <w:tc>
                <w:tcPr/>
                <w:p>
                  <w:pPr>
                    <w:pStyle w:val="Compact"/>
                    <w:jc w:val="left"/>
                    <w:jc w:val="center"/>
                  </w:pPr>
                  <w:r>
                    <w:t xml:space="preserve">Teika 定家</w:t>
                  </w:r>
                </w:p>
              </w:tc>
              <w:tc>
                <w:tcPr/>
                <w:p>
                  <w:pPr>
                    <w:pStyle w:val="Compact"/>
                    <w:jc w:val="right"/>
                    <w:jc w:val="center"/>
                  </w:pPr>
                  <w:r>
                    <w:t xml:space="preserve">36,173</w:t>
                  </w:r>
                </w:p>
              </w:tc>
              <w:tc>
                <w:tcPr/>
                <w:p>
                  <w:pPr>
                    <w:pStyle w:val="Compact"/>
                    <w:jc w:val="right"/>
                    <w:jc w:val="center"/>
                  </w:pPr>
                  <w:r>
                    <w:t xml:space="preserve">3,384</w:t>
                  </w:r>
                </w:p>
              </w:tc>
              <w:tc>
                <w:tcPr/>
                <w:p>
                  <w:pPr>
                    <w:pStyle w:val="Compact"/>
                    <w:jc w:val="right"/>
                    <w:jc w:val="center"/>
                  </w:pPr>
                  <w:r>
                    <w:t xml:space="preserve">1,000</w:t>
                  </w:r>
                </w:p>
              </w:tc>
            </w:tr>
            <w:tr>
              <w:tc>
                <w:tcPr/>
                <w:p>
                  <w:pPr>
                    <w:pStyle w:val="Compact"/>
                    <w:jc w:val="left"/>
                    <w:jc w:val="center"/>
                  </w:pPr>
                  <w:r>
                    <w:t xml:space="preserve">5</w:t>
                  </w:r>
                </w:p>
              </w:tc>
              <w:tc>
                <w:tcPr/>
                <w:p>
                  <w:pPr>
                    <w:pStyle w:val="Compact"/>
                    <w:jc w:val="left"/>
                    <w:jc w:val="center"/>
                  </w:pPr>
                  <w:r>
                    <w:t xml:space="preserve">TKOK</w:t>
                  </w:r>
                </w:p>
              </w:tc>
              <w:tc>
                <w:tcPr/>
                <w:p>
                  <w:pPr>
                    <w:pStyle w:val="Compact"/>
                    <w:jc w:val="left"/>
                    <w:jc w:val="center"/>
                  </w:pPr>
                  <w:r>
                    <w:t xml:space="preserve">竹岡 (1976)</w:t>
                  </w:r>
                </w:p>
              </w:tc>
              <w:tc>
                <w:tcPr/>
                <w:p>
                  <w:pPr>
                    <w:pStyle w:val="Compact"/>
                    <w:jc w:val="left"/>
                    <w:jc w:val="center"/>
                  </w:pPr>
                  <w:r>
                    <w:t xml:space="preserve">Teika 定家</w:t>
                  </w:r>
                </w:p>
              </w:tc>
              <w:tc>
                <w:tcPr/>
                <w:p>
                  <w:pPr>
                    <w:pStyle w:val="Compact"/>
                    <w:jc w:val="right"/>
                    <w:jc w:val="center"/>
                  </w:pPr>
                  <w:r>
                    <w:t xml:space="preserve">29,844</w:t>
                  </w:r>
                </w:p>
              </w:tc>
              <w:tc>
                <w:tcPr/>
                <w:p>
                  <w:pPr>
                    <w:pStyle w:val="Compact"/>
                    <w:jc w:val="right"/>
                    <w:jc w:val="center"/>
                  </w:pPr>
                  <w:r>
                    <w:t xml:space="preserve">2,861</w:t>
                  </w:r>
                </w:p>
              </w:tc>
              <w:tc>
                <w:tcPr/>
                <w:p>
                  <w:pPr>
                    <w:pStyle w:val="Compact"/>
                    <w:jc w:val="right"/>
                    <w:jc w:val="center"/>
                  </w:pPr>
                  <w:r>
                    <w:t xml:space="preserve">1,000</w:t>
                  </w:r>
                </w:p>
              </w:tc>
            </w:tr>
            <w:tr>
              <w:tc>
                <w:tcPr/>
                <w:p>
                  <w:pPr>
                    <w:pStyle w:val="Compact"/>
                    <w:jc w:val="left"/>
                    <w:jc w:val="center"/>
                  </w:pPr>
                  <w:r>
                    <w:t xml:space="preserve">6</w:t>
                  </w:r>
                </w:p>
              </w:tc>
              <w:tc>
                <w:tcPr/>
                <w:p>
                  <w:pPr>
                    <w:pStyle w:val="Compact"/>
                    <w:jc w:val="left"/>
                    <w:jc w:val="center"/>
                  </w:pPr>
                  <w:r>
                    <w:t xml:space="preserve">OKMR</w:t>
                  </w:r>
                </w:p>
              </w:tc>
              <w:tc>
                <w:tcPr/>
                <w:p>
                  <w:pPr>
                    <w:pStyle w:val="Compact"/>
                    <w:jc w:val="left"/>
                    <w:jc w:val="center"/>
                  </w:pPr>
                  <w:r>
                    <w:t xml:space="preserve">奥村 (1978)</w:t>
                  </w:r>
                </w:p>
              </w:tc>
              <w:tc>
                <w:tcPr/>
                <w:p>
                  <w:pPr>
                    <w:pStyle w:val="Compact"/>
                    <w:jc w:val="left"/>
                    <w:jc w:val="center"/>
                  </w:pPr>
                  <w:r>
                    <w:t xml:space="preserve">Teika 定家</w:t>
                  </w:r>
                </w:p>
              </w:tc>
              <w:tc>
                <w:tcPr/>
                <w:p>
                  <w:pPr>
                    <w:pStyle w:val="Compact"/>
                    <w:jc w:val="right"/>
                    <w:jc w:val="center"/>
                  </w:pPr>
                  <w:r>
                    <w:t xml:space="preserve">32,321</w:t>
                  </w:r>
                </w:p>
              </w:tc>
              <w:tc>
                <w:tcPr/>
                <w:p>
                  <w:pPr>
                    <w:pStyle w:val="Compact"/>
                    <w:jc w:val="right"/>
                    <w:jc w:val="center"/>
                  </w:pPr>
                  <w:r>
                    <w:t xml:space="preserve">3,153</w:t>
                  </w:r>
                </w:p>
              </w:tc>
              <w:tc>
                <w:tcPr/>
                <w:p>
                  <w:pPr>
                    <w:pStyle w:val="Compact"/>
                    <w:jc w:val="right"/>
                    <w:jc w:val="center"/>
                  </w:pPr>
                  <w:r>
                    <w:t xml:space="preserve">1,000</w:t>
                  </w:r>
                </w:p>
              </w:tc>
            </w:tr>
            <w:tr>
              <w:tc>
                <w:tcPr/>
                <w:p>
                  <w:pPr>
                    <w:pStyle w:val="Compact"/>
                    <w:jc w:val="left"/>
                    <w:jc w:val="center"/>
                  </w:pPr>
                  <w:r>
                    <w:t xml:space="preserve">7</w:t>
                  </w:r>
                </w:p>
              </w:tc>
              <w:tc>
                <w:tcPr/>
                <w:p>
                  <w:pPr>
                    <w:pStyle w:val="Compact"/>
                    <w:jc w:val="left"/>
                    <w:jc w:val="center"/>
                  </w:pPr>
                  <w:r>
                    <w:t xml:space="preserve">KSJ</w:t>
                  </w:r>
                </w:p>
              </w:tc>
              <w:tc>
                <w:tcPr/>
                <w:p>
                  <w:pPr>
                    <w:pStyle w:val="Compact"/>
                    <w:jc w:val="left"/>
                    <w:jc w:val="center"/>
                  </w:pPr>
                  <w:r>
                    <w:t xml:space="preserve">久曽神 (1979)</w:t>
                  </w:r>
                </w:p>
              </w:tc>
              <w:tc>
                <w:tcPr/>
                <w:p>
                  <w:pPr>
                    <w:pStyle w:val="Compact"/>
                    <w:jc w:val="left"/>
                    <w:jc w:val="center"/>
                  </w:pPr>
                  <w:r>
                    <w:t xml:space="preserve">Teika 定家</w:t>
                  </w:r>
                </w:p>
              </w:tc>
              <w:tc>
                <w:tcPr/>
                <w:p>
                  <w:pPr>
                    <w:pStyle w:val="Compact"/>
                    <w:jc w:val="right"/>
                    <w:jc w:val="center"/>
                  </w:pPr>
                  <w:r>
                    <w:t xml:space="preserve">34,050</w:t>
                  </w:r>
                </w:p>
              </w:tc>
              <w:tc>
                <w:tcPr/>
                <w:p>
                  <w:pPr>
                    <w:pStyle w:val="Compact"/>
                    <w:jc w:val="right"/>
                    <w:jc w:val="center"/>
                  </w:pPr>
                  <w:r>
                    <w:t xml:space="preserve">2,770</w:t>
                  </w:r>
                </w:p>
              </w:tc>
              <w:tc>
                <w:tcPr/>
                <w:p>
                  <w:pPr>
                    <w:pStyle w:val="Compact"/>
                    <w:jc w:val="right"/>
                    <w:jc w:val="center"/>
                  </w:pPr>
                  <w:r>
                    <w:t xml:space="preserve">1,000</w:t>
                  </w:r>
                </w:p>
              </w:tc>
            </w:tr>
            <w:tr>
              <w:tc>
                <w:tcPr/>
                <w:p>
                  <w:pPr>
                    <w:pStyle w:val="Compact"/>
                    <w:jc w:val="left"/>
                    <w:jc w:val="center"/>
                  </w:pPr>
                  <w:r>
                    <w:t xml:space="preserve">8</w:t>
                  </w:r>
                </w:p>
              </w:tc>
              <w:tc>
                <w:tcPr/>
                <w:p>
                  <w:pPr>
                    <w:pStyle w:val="Compact"/>
                    <w:jc w:val="left"/>
                    <w:jc w:val="center"/>
                  </w:pPr>
                  <w:r>
                    <w:t xml:space="preserve">KMCY</w:t>
                  </w:r>
                </w:p>
              </w:tc>
              <w:tc>
                <w:tcPr/>
                <w:p>
                  <w:pPr>
                    <w:pStyle w:val="Compact"/>
                    <w:jc w:val="left"/>
                    <w:jc w:val="center"/>
                  </w:pPr>
                  <w:r>
                    <w:t xml:space="preserve">小町谷 (1982)</w:t>
                  </w:r>
                </w:p>
              </w:tc>
              <w:tc>
                <w:tcPr/>
                <w:p>
                  <w:pPr>
                    <w:pStyle w:val="Compact"/>
                    <w:jc w:val="left"/>
                    <w:jc w:val="center"/>
                  </w:pPr>
                  <w:r>
                    <w:t xml:space="preserve">Teika 定家</w:t>
                  </w:r>
                </w:p>
              </w:tc>
              <w:tc>
                <w:tcPr/>
                <w:p>
                  <w:pPr>
                    <w:pStyle w:val="Compact"/>
                    <w:jc w:val="right"/>
                    <w:jc w:val="center"/>
                  </w:pPr>
                  <w:r>
                    <w:t xml:space="preserve">30,869</w:t>
                  </w:r>
                </w:p>
              </w:tc>
              <w:tc>
                <w:tcPr/>
                <w:p>
                  <w:pPr>
                    <w:pStyle w:val="Compact"/>
                    <w:jc w:val="right"/>
                    <w:jc w:val="center"/>
                  </w:pPr>
                  <w:r>
                    <w:t xml:space="preserve">2,692</w:t>
                  </w:r>
                </w:p>
              </w:tc>
              <w:tc>
                <w:tcPr/>
                <w:p>
                  <w:pPr>
                    <w:pStyle w:val="Compact"/>
                    <w:jc w:val="right"/>
                    <w:jc w:val="center"/>
                  </w:pPr>
                  <w:r>
                    <w:t xml:space="preserve">1,000</w:t>
                  </w:r>
                </w:p>
              </w:tc>
            </w:tr>
            <w:tr>
              <w:tc>
                <w:tcPr/>
                <w:p>
                  <w:pPr>
                    <w:pStyle w:val="Compact"/>
                    <w:jc w:val="left"/>
                    <w:jc w:val="center"/>
                  </w:pPr>
                  <w:r>
                    <w:t xml:space="preserve">9</w:t>
                  </w:r>
                </w:p>
              </w:tc>
              <w:tc>
                <w:tcPr/>
                <w:p>
                  <w:pPr>
                    <w:pStyle w:val="Compact"/>
                    <w:jc w:val="left"/>
                    <w:jc w:val="center"/>
                  </w:pPr>
                  <w:r>
                    <w:t xml:space="preserve">K&amp;A</w:t>
                  </w:r>
                </w:p>
              </w:tc>
              <w:tc>
                <w:tcPr/>
                <w:p>
                  <w:pPr>
                    <w:pStyle w:val="Compact"/>
                    <w:jc w:val="left"/>
                    <w:jc w:val="center"/>
                  </w:pPr>
                  <w:r>
                    <w:t xml:space="preserve">小島 and 新井 (1989)</w:t>
                  </w:r>
                </w:p>
              </w:tc>
              <w:tc>
                <w:tcPr/>
                <w:p>
                  <w:pPr>
                    <w:pStyle w:val="Compact"/>
                    <w:jc w:val="left"/>
                    <w:jc w:val="center"/>
                  </w:pPr>
                  <w:r>
                    <w:t xml:space="preserve">Teika 定家</w:t>
                  </w:r>
                </w:p>
              </w:tc>
              <w:tc>
                <w:tcPr/>
                <w:p>
                  <w:pPr>
                    <w:pStyle w:val="Compact"/>
                    <w:jc w:val="right"/>
                    <w:jc w:val="center"/>
                  </w:pPr>
                  <w:r>
                    <w:t xml:space="preserve">33,867</w:t>
                  </w:r>
                </w:p>
              </w:tc>
              <w:tc>
                <w:tcPr/>
                <w:p>
                  <w:pPr>
                    <w:pStyle w:val="Compact"/>
                    <w:jc w:val="right"/>
                    <w:jc w:val="center"/>
                  </w:pPr>
                  <w:r>
                    <w:t xml:space="preserve">2,955</w:t>
                  </w:r>
                </w:p>
              </w:tc>
              <w:tc>
                <w:tcPr/>
                <w:p>
                  <w:pPr>
                    <w:pStyle w:val="Compact"/>
                    <w:jc w:val="right"/>
                    <w:jc w:val="center"/>
                  </w:pPr>
                  <w:r>
                    <w:t xml:space="preserve">1,000</w:t>
                  </w:r>
                </w:p>
              </w:tc>
            </w:tr>
            <w:tr>
              <w:tc>
                <w:tcPr/>
                <w:p>
                  <w:pPr>
                    <w:pStyle w:val="Compact"/>
                    <w:jc w:val="left"/>
                    <w:jc w:val="center"/>
                  </w:pPr>
                  <w:r>
                    <w:t xml:space="preserve">10</w:t>
                  </w:r>
                </w:p>
              </w:tc>
              <w:tc>
                <w:tcPr/>
                <w:p>
                  <w:pPr>
                    <w:pStyle w:val="Compact"/>
                    <w:jc w:val="left"/>
                    <w:jc w:val="center"/>
                  </w:pPr>
                  <w:r>
                    <w:t xml:space="preserve">KTGR</w:t>
                  </w:r>
                </w:p>
              </w:tc>
              <w:tc>
                <w:tcPr/>
                <w:p>
                  <w:pPr>
                    <w:pStyle w:val="Compact"/>
                    <w:jc w:val="left"/>
                    <w:jc w:val="center"/>
                  </w:pPr>
                  <w:r>
                    <w:t xml:space="preserve">片桐 (1998)</w:t>
                  </w:r>
                </w:p>
              </w:tc>
              <w:tc>
                <w:tcPr/>
                <w:p>
                  <w:pPr>
                    <w:pStyle w:val="Compact"/>
                    <w:jc w:val="left"/>
                    <w:jc w:val="center"/>
                  </w:pPr>
                  <w:r>
                    <w:t xml:space="preserve">Teika 定家</w:t>
                  </w:r>
                </w:p>
              </w:tc>
              <w:tc>
                <w:tcPr/>
                <w:p>
                  <w:pPr>
                    <w:pStyle w:val="Compact"/>
                    <w:jc w:val="right"/>
                    <w:jc w:val="center"/>
                  </w:pPr>
                  <w:r>
                    <w:t xml:space="preserve">36,362</w:t>
                  </w:r>
                </w:p>
              </w:tc>
              <w:tc>
                <w:tcPr/>
                <w:p>
                  <w:pPr>
                    <w:pStyle w:val="Compact"/>
                    <w:jc w:val="right"/>
                    <w:jc w:val="center"/>
                  </w:pPr>
                  <w:r>
                    <w:t xml:space="preserve">2,882</w:t>
                  </w:r>
                </w:p>
              </w:tc>
              <w:tc>
                <w:tcPr/>
                <w:p>
                  <w:pPr>
                    <w:pStyle w:val="Compact"/>
                    <w:jc w:val="right"/>
                    <w:jc w:val="center"/>
                  </w:pPr>
                  <w:r>
                    <w:t xml:space="preserve">1,000</w:t>
                  </w:r>
                </w:p>
              </w:tc>
            </w:tr>
            <w:tr>
              <w:tc>
                <w:tcPr/>
                <w:p>
                  <w:pPr>
                    <w:pStyle w:val="Compact"/>
                  </w:pPr>
                </w:p>
              </w:tc>
              <w:tc>
                <w:tcPr/>
                <w:p>
                  <w:pPr>
                    <w:pStyle w:val="Compact"/>
                    <w:jc w:val="left"/>
                    <w:jc w:val="center"/>
                  </w:pPr>
                  <w:r>
                    <w:t xml:space="preserve">Total</w:t>
                  </w:r>
                </w:p>
              </w:tc>
              <w:tc>
                <w:tcPr/>
                <w:p>
                  <w:pPr>
                    <w:pStyle w:val="Compact"/>
                  </w:pPr>
                </w:p>
              </w:tc>
              <w:tc>
                <w:tcPr/>
                <w:p>
                  <w:pPr>
                    <w:pStyle w:val="Compact"/>
                  </w:pPr>
                </w:p>
              </w:tc>
              <w:tc>
                <w:tcPr/>
                <w:p>
                  <w:pPr>
                    <w:pStyle w:val="Compact"/>
                    <w:jc w:val="right"/>
                    <w:jc w:val="center"/>
                  </w:pPr>
                  <w:r>
                    <w:t xml:space="preserve">339,995</w:t>
                  </w:r>
                </w:p>
              </w:tc>
              <w:tc>
                <w:tcPr/>
                <w:p>
                  <w:pPr>
                    <w:pStyle w:val="Compact"/>
                    <w:jc w:val="right"/>
                    <w:jc w:val="center"/>
                  </w:pPr>
                  <w:r>
                    <w:t xml:space="preserve">8,252</w:t>
                  </w:r>
                </w:p>
              </w:tc>
              <w:tc>
                <w:tcPr/>
                <w:p>
                  <w:pPr>
                    <w:pStyle w:val="Compact"/>
                    <w:jc w:val="right"/>
                    <w:jc w:val="center"/>
                  </w:pPr>
                  <w:r>
                    <w:t xml:space="preserve">10,000</w:t>
                  </w:r>
                </w:p>
              </w:tc>
            </w:tr>
          </w:tbl>
          <w:bookmarkEnd w:id="31"/>
          <w:p/>
        </w:tc>
      </w:tr>
    </w:tbl>
    <w:bookmarkEnd w:id="32"/>
    <w:bookmarkEnd w:id="33"/>
    <w:bookmarkStart w:id="62" w:name="sec-methods"/>
    <w:p>
      <w:pPr>
        <w:pStyle w:val="Heading1"/>
      </w:pPr>
      <w:r>
        <w:t xml:space="preserve">2. 方法</w:t>
      </w:r>
    </w:p>
    <w:p>
      <w:pPr>
        <w:pStyle w:val="FirstParagraph"/>
      </w:pPr>
      <w:r>
        <w:t xml:space="preserve">現代語訳からノンリテラル要素が効率よく抽出できるかの問題に対して、2 つの ステップで確認する。第一に、訳者の翻訳に対する主観的な認識を明確にし、主観的な認識においてノンリテラル情報の扱い方への言及を精査する。第二に、客観的にそれぞれの翻訳実践がその翻訳アプローチにの主観意識に従っているかいなかを調査する。</w:t>
      </w:r>
    </w:p>
    <w:p>
      <w:pPr>
        <w:pStyle w:val="BodyText"/>
      </w:pPr>
      <w:r>
        <w:t xml:space="preserve">訳者の主観的意識・認識の調査には、注釈書における現代語訳の方針に関する言及の文献調査を行い、主に訳者の翻訳行動に際してのフォーカスを分類する。訳者の実践において、訳、とりわけ訳における要素の追加がその翻訳のアプローチに影響されているか、どの程度影響されているかについて、原文要素の不一致率、訳における追加率を算出し、統計的に翻訳アプローチによる差があるか明確にする。さらに、訳における追加要素がノンリテラル要素として認められるかについて、事例分析を行う。</w:t>
      </w:r>
    </w:p>
    <w:p>
      <w:pPr>
        <w:pStyle w:val="BodyText"/>
      </w:pPr>
      <w:r>
        <w:t xml:space="preserve">具体的な方法の説明は次につづく。</w:t>
      </w:r>
    </w:p>
    <w:bookmarkStart w:id="45" w:name="文献調査による翻訳アプローチの分類"/>
    <w:p>
      <w:pPr>
        <w:pStyle w:val="Heading2"/>
      </w:pPr>
      <w:r>
        <w:t xml:space="preserve">2.1 文献調査による翻訳アプローチの分類</w:t>
      </w:r>
    </w:p>
    <w:p>
      <w:pPr>
        <w:pStyle w:val="FirstParagraph"/>
      </w:pPr>
      <w:r>
        <w:t xml:space="preserve">本節では 20 世紀の古今集の注釈書の著者の現代語訳執筆方針について文献調査を行い整理する。</w:t>
      </w:r>
      <w:r>
        <w:t xml:space="preserve"> </w:t>
      </w:r>
      <w:r>
        <w:t xml:space="preserve">Yamamoto (2005, 102)</w:t>
      </w:r>
      <w:r>
        <w:t xml:space="preserve"> </w:t>
      </w:r>
      <w:r>
        <w:t xml:space="preserve">では、訳者の理論的考えを踏まえつつ、それぞれの現代語訳を実際に観察し、「逐語訳 (word-for-word) 」「作者の意思の尊重 (intension-oriented)」「字句を補う (supplement for words)」「語順・語法を変える (word change)」「不詳 (not mentioned)」のように分類しているが、「作者の意思の尊重 (intention-oriented)」は翻訳の目標・フォーカスであり、その他は具体的な訳し方である、分類の視座が統一されていない。そのため、基準の統一た分類が必要である。ここでは、</w:t>
      </w:r>
      <w:r>
        <w:t xml:space="preserve">Yamamoto (2005)</w:t>
      </w:r>
      <w:r>
        <w:t xml:space="preserve"> </w:t>
      </w:r>
      <w:r>
        <w:t xml:space="preserve">で採用された</w:t>
      </w:r>
      <w:r>
        <w:t xml:space="preserve"> </w:t>
      </w:r>
      <w:r>
        <w:t xml:space="preserve">Schramm (1954)</w:t>
      </w:r>
      <w:r>
        <w:t xml:space="preserve"> </w:t>
      </w:r>
      <w:r>
        <w:t xml:space="preserve">のコミュニケーションモデルの観点から翻訳の力点の置き方の分類を行う (</w:t>
      </w:r>
      <w:hyperlink w:anchor="fig-schramm-schema">
        <w:r>
          <w:rPr>
            <w:rStyle w:val="Hyperlink"/>
          </w:rPr>
          <w:t xml:space="preserve">Figure 1</w:t>
        </w:r>
      </w:hyperlink>
      <w:r>
        <w:t xml:space="preserve">)。</w:t>
      </w:r>
    </w:p>
    <w:p>
      <w:pPr>
        <w:pStyle w:val="BodyText"/>
      </w:pPr>
      <w:r>
        <w:t xml:space="preserve">現代語訳のコミュニケーションモデルは 2 つのサブプロセスを含めている。翻訳者が 10 世紀のサブプロセスの受信者でありながら、20 世紀のサブプロセスの発信者である。2 つのサブプロセスの経験野をコミュニケートする役割を果たしている。</w:t>
      </w:r>
    </w:p>
    <w:p>
      <w:pPr>
        <w:pStyle w:val="BodyText"/>
      </w:pPr>
      <w:r>
        <w:t xml:space="preserve">このモデルの考え方に基づき、翻訳アプローチを 3 つに分類する：</w:t>
      </w:r>
    </w:p>
    <w:p>
      <w:pPr>
        <w:pStyle w:val="Compact"/>
        <w:numPr>
          <w:ilvl w:val="0"/>
          <w:numId w:val="1001"/>
        </w:numPr>
      </w:pPr>
      <w:r>
        <w:t xml:space="preserve">歌人本位のアプローチ (Poet-focused approach): 10 世紀のサブプロセスの中のソースである歌人の作意をハイライトする</w:t>
      </w:r>
    </w:p>
    <w:p>
      <w:pPr>
        <w:pStyle w:val="Compact"/>
        <w:numPr>
          <w:ilvl w:val="0"/>
          <w:numId w:val="1001"/>
        </w:numPr>
      </w:pPr>
      <w:r>
        <w:t xml:space="preserve">原文本位のアプローチ (Text-focused approach): 10 世紀のサブプロセスにおけるシグナルであるテキストの文字通りの意味をハイライトする</w:t>
      </w:r>
    </w:p>
    <w:p>
      <w:pPr>
        <w:pStyle w:val="Compact"/>
        <w:numPr>
          <w:ilvl w:val="0"/>
          <w:numId w:val="1001"/>
        </w:numPr>
      </w:pPr>
      <w:r>
        <w:t xml:space="preserve">読者本位のアプローチ (Reader-focused approach): 20 世紀のサブプロセスの中のデスティネーションである読者の理解をハイライトする</w:t>
      </w:r>
    </w:p>
    <w:p>
      <w:pPr>
        <w:pStyle w:val="FirstParagraph"/>
      </w:pPr>
      <w:r>
        <w:t xml:space="preserve">そのほかには、翻訳においては、訳自体のもつ読み物としての文学性、つまり 20 世紀の中のシグナルを重視するアプローチも想定できるが、注釈における訳であるため訳の面白さや文学性への重点的なが考えにくい。ここでは触れないようにする。</w:t>
      </w:r>
    </w:p>
    <w:bookmarkStart w:id="44" w:name="fig-schramm-schema"/>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38" w:name="fig-schramm-schema-orig"/>
                <w:p>
                  <w:pPr>
                    <w:pStyle w:val="Compact"/>
                    <w:jc w:val="center"/>
                    <w:jc w:val="left"/>
                  </w:pPr>
                  <w:r>
                    <w:drawing>
                      <wp:inline>
                        <wp:extent cx="2971800" cy="557571"/>
                        <wp:effectExtent b="0" l="0" r="0" t="0"/>
                        <wp:docPr descr="" title="" id="35" name="Picture"/>
                        <a:graphic>
                          <a:graphicData uri="http://schemas.openxmlformats.org/drawingml/2006/picture">
                            <pic:pic>
                              <pic:nvPicPr>
                                <pic:cNvPr descr="figures/fig-process-comm.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2971800" cy="55757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コミュニケーションモデル</w:t>
                  </w:r>
                </w:p>
                <w:bookmarkEnd w:id="38"/>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43" w:name="fig-schramm-schema-adap"/>
                <w:p>
                  <w:pPr>
                    <w:pStyle w:val="Compact"/>
                    <w:jc w:val="center"/>
                    <w:jc w:val="left"/>
                  </w:pPr>
                  <w:r>
                    <w:drawing>
                      <wp:inline>
                        <wp:extent cx="2971800" cy="1978869"/>
                        <wp:effectExtent b="0" l="0" r="0" t="0"/>
                        <wp:docPr descr="" title="" id="40" name="Picture"/>
                        <a:graphic>
                          <a:graphicData uri="http://schemas.openxmlformats.org/drawingml/2006/picture">
                            <pic:pic>
                              <pic:nvPicPr>
                                <pic:cNvPr descr="figures/fig-schema-op-ct-tikz.svg" id="41" name="Picture"/>
                                <pic:cNvPicPr>
                                  <a:picLocks noChangeArrowheads="1" noChangeAspect="1"/>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2971800" cy="19788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翻訳アプローチの分類とコミュニケーションモデルにおける位置づけ</w:t>
                  </w:r>
                </w:p>
                <w:bookmarkEnd w:id="43"/>
              </w:tc>
            </w:tr>
          </w:tbl>
          <w:p/>
        </w:tc>
      </w:tr>
    </w:tbl>
    <w:p>
      <w:pPr>
        <w:pStyle w:val="BodyText"/>
      </w:pPr>
      <w:pPr>
        <w:spacing w:before="200"/>
        <w:pStyle w:val="ImageCaption"/>
      </w:pPr>
      <w:r>
        <w:t xml:space="preserve">Figure 1:</w:t>
      </w:r>
      <w:r>
        <w:t xml:space="preserve"> </w:t>
      </w:r>
      <w:r>
        <w:t xml:space="preserve">コミュニケーションモデルから見る翻訳アプローチの分類</w:t>
      </w:r>
    </w:p>
    <w:bookmarkEnd w:id="44"/>
    <w:bookmarkEnd w:id="45"/>
    <w:bookmarkStart w:id="54" w:name="追加率不一致率の計算"/>
    <w:p>
      <w:pPr>
        <w:pStyle w:val="Heading2"/>
      </w:pPr>
      <w:r>
        <w:t xml:space="preserve">2.2 追加率・不一致率の計算</w:t>
      </w:r>
    </w:p>
    <w:p>
      <w:pPr>
        <w:pStyle w:val="FirstParagraph"/>
      </w:pPr>
      <w:r>
        <w:t xml:space="preserve">読者本位・歌人本位の訳文は解釈と推論の追加の可能性が高いため、ノンリテラル要素を多く抽出できそうであると思われる。しかし、訳者の主観的に読者本位・歌人本位と意識しても、翻訳実践と翻訳アプローチのずれが存在しないわけではない。この点について、客観的に追加率の調査で明確にしなければならない。それぞれの訳者が自身の翻訳アプローチに従い、どこまで一貫して訳しているかについて、実際の和歌と現代語訳の不一致率で計算する。不一致率の計算は、要素の順序と重複を考慮しない集合演算による方法（バッグ法）と、要素の順序と重複を考慮するアライメントによる方法（整列法）を考えている。手順については</w:t>
      </w:r>
      <w:r>
        <w:t xml:space="preserve"> </w:t>
      </w:r>
      <w:r>
        <w:t xml:space="preserve">Yamamoto (2005)</w:t>
      </w:r>
      <w:r>
        <w:t xml:space="preserve"> </w:t>
      </w:r>
      <w:r>
        <w:t xml:space="preserve">と</w:t>
      </w:r>
      <w:r>
        <w:t xml:space="preserve"> </w:t>
      </w:r>
      <w:r>
        <w:t xml:space="preserve">Yamamoto and Hodošček (2019)</w:t>
      </w:r>
      <w:r>
        <w:t xml:space="preserve"> </w:t>
      </w:r>
      <w:r>
        <w:t xml:space="preserve">にもあるが、説明の紙幅で明確に手順を示さなかった。本稿では先行研究で曖昧な部分を含め、計算のプロセスを明確にする。</w:t>
      </w:r>
    </w:p>
    <w:p>
      <w:pPr>
        <w:pStyle w:val="BodyText"/>
      </w:pPr>
      <w:r>
        <w:t xml:space="preserve">Yamamoto (2005)</w:t>
      </w:r>
      <w:r>
        <w:t xml:space="preserve"> </w:t>
      </w:r>
      <w:r>
        <w:t xml:space="preserve">と</w:t>
      </w:r>
      <w:r>
        <w:t xml:space="preserve"> </w:t>
      </w:r>
      <w:r>
        <w:t xml:space="preserve">Yamamoto and Hodošček (2019)</w:t>
      </w:r>
      <w:r>
        <w:t xml:space="preserve"> </w:t>
      </w:r>
      <w:r>
        <w:t xml:space="preserve">のアプローチは、分解可能でかつ語の複数の意味のメタコードを同時に保持して不一致率の計算を行っている。つまり和歌の語のデフォルトの分類語彙表番号、または、複合語において一致語がある場合、その下位分解やその他の意味の一致可能性について省略する。逆の場合は、その下位の分解や他の潜在的な意味における一致の可能性を考慮して探索する。したがって、和歌の述べ語数を計算する際、複合語単位で対応するか、単語のどの意味で一致がるか，対象となる単位が結果から遡り動的に決められている。このアプローチのメリットは、複合表現対複合表現の一致を優先することと多義語の複数の意味のうち、いずれかの一致の可能性を計算の中間プロセスに含めることにある。 実際の計算において、このアプローチには強い前提が設けられている：翻訳者が主観的な努力として 100% の情報を翻訳に含めようとしていると見なしている。そのため現代語において形式的に一致語が存在しない語であっても、原文のいずれかの要素と潜在的に 1 対 1 で対応しているとして、追加率を計算する際追加率からその分が引かれている（残った追加率を純粋なアノテーション (pure annotation) と呼んでいる）。 しかし、明らかに歌ことばに対応語が存在しないことは、その語の情報の欠落を訳者が認識していることでもあるため、逐語で訳されている前提は理論的である。</w:t>
      </w:r>
      <w:r>
        <w:t xml:space="preserve"> </w:t>
      </w:r>
      <w:r>
        <w:t xml:space="preserve">また、対応の単位が変動するため追加率の分母である訳語の数のカウントが変動し、個々の翻訳者の追加率の比較においては直感的でない問題もあるように思われる。</w:t>
      </w:r>
    </w:p>
    <w:p>
      <w:pPr>
        <w:pStyle w:val="BodyText"/>
      </w:pPr>
      <w:r>
        <w:t xml:space="preserve">そこで本稿では、追加率の計算の説明の明確化と結果の再現性について補足を行う。計算における調整は、当初の結論を覆すものではない。本稿の計算では、単位の設定のデフォルトの分類語彙表の意味メタコードと、分解された最小単位に統一した上で行う。</w:t>
      </w:r>
      <w:r>
        <w:rPr>
          <w:rStyle w:val="FootnoteReference"/>
        </w:rPr>
        <w:footnoteReference w:id="46"/>
      </w:r>
    </w:p>
    <w:bookmarkStart w:id="47" w:name="旧分類語彙表番号旧-wlsp-番号に基づく一致の層づけ"/>
    <w:p>
      <w:pPr>
        <w:pStyle w:val="Heading4"/>
      </w:pPr>
      <w:r>
        <w:t xml:space="preserve">旧分類語彙表番号（旧 WLSP 番号）に基づく一致の層づけ</w:t>
      </w:r>
    </w:p>
    <w:p>
      <w:pPr>
        <w:pStyle w:val="FirstParagraph"/>
      </w:pPr>
      <w:r>
        <w:t xml:space="preserve">歌ことばと現代語訳語の「一致・不一致」は、次の式のように、二語のメタコード（旧 WLSP 番号）の最長共通部分列 (Longest common subsequence, LCS)</w:t>
      </w:r>
      <w:r>
        <w:t xml:space="preserve"> </w:t>
      </w:r>
      <w:r>
        <w:t xml:space="preserve">(Sankoff 1972; Traum and Habash 2000)</w:t>
      </w:r>
      <w:r>
        <w:t xml:space="preserve"> </w:t>
      </w:r>
      <w:r>
        <w:t xml:space="preserve">の長さで</w:t>
      </w:r>
      <w:r>
        <w:t xml:space="preserve"> </w:t>
      </w:r>
      <m:oMath>
        <m:r>
          <m:t>U</m:t>
        </m:r>
      </m:oMath>
      <w:r>
        <w:t xml:space="preserve">（不一致）,</w:t>
      </w:r>
      <w:r>
        <w:t xml:space="preserve"> </w:t>
      </w:r>
      <m:oMath>
        <m:r>
          <m:t>G</m:t>
        </m:r>
      </m:oMath>
      <w:r>
        <w:t xml:space="preserve">（グループマッチ）,</w:t>
      </w:r>
      <w:r>
        <w:t xml:space="preserve"> </w:t>
      </w:r>
      <m:oMath>
        <m:r>
          <m:t>F</m:t>
        </m:r>
      </m:oMath>
      <w:r>
        <w:t xml:space="preserve">（フィールドマッチ）,</w:t>
      </w:r>
      <w:r>
        <w:t xml:space="preserve"> </w:t>
      </w:r>
      <m:oMath>
        <m:r>
          <m:t>E</m:t>
        </m:r>
      </m:oMath>
      <w:r>
        <w:t xml:space="preserve">（正確マッチ）の 4 つに層づけする。</w:t>
      </w:r>
    </w:p>
    <w:p>
      <w:pPr>
        <w:pStyle w:val="BodyText"/>
      </w:pPr>
      <m:oMathPara>
        <m:oMathParaPr>
          <m:jc m:val="center"/>
        </m:oMathParaPr>
        <m:oMath>
          <m:r>
            <m:rPr>
              <m:nor/>
              <m:sty m:val="p"/>
            </m:rPr>
            <m:t>match</m:t>
          </m:r>
          <m:d>
            <m:dPr>
              <m:begChr m:val="("/>
              <m:endChr m:val=")"/>
              <m:sepChr m:val=""/>
              <m:grow/>
            </m:dPr>
            <m:e>
              <m:r>
                <m:t>s</m:t>
              </m:r>
              <m:r>
                <m:rPr>
                  <m:sty m:val="p"/>
                </m:rPr>
                <m:t>,</m:t>
              </m:r>
              <m:r>
                <m:t>t</m:t>
              </m:r>
            </m:e>
          </m:d>
          <m:r>
            <m:rPr>
              <m:sty m:val="p"/>
            </m:rPr>
            <m:t>∈</m:t>
          </m:r>
          <m:d>
            <m:dPr>
              <m:begChr m:val="{"/>
              <m:endChr m:val=""/>
              <m:sepChr m:val=""/>
              <m:grow/>
            </m:dPr>
            <m:e>
              <m:m>
                <m:mPr>
                  <m:baseJc m:val="center"/>
                  <m:plcHide m:val="on"/>
                  <m:mcs>
                    <m:mc>
                      <m:mcPr>
                        <m:mcJc m:val="left"/>
                        <m:count m:val="1"/>
                      </m:mcPr>
                    </m:mc>
                    <m:mc>
                      <m:mcPr>
                        <m:mcJc m:val="left"/>
                        <m:count m:val="1"/>
                      </m:mcPr>
                    </m:mc>
                  </m:mcs>
                </m:mPr>
                <m:mr>
                  <m:e>
                    <m:r>
                      <m:t>U</m:t>
                    </m:r>
                    <m:r>
                      <m:rPr>
                        <m:sty m:val="p"/>
                      </m:rPr>
                      <m:t>,</m:t>
                    </m:r>
                  </m:e>
                  <m:e>
                    <m:r>
                      <m:rPr>
                        <m:nor/>
                        <m:sty m:val="p"/>
                      </m:rPr>
                      <m:t>if </m:t>
                    </m:r>
                    <m:r>
                      <m:rPr>
                        <m:nor/>
                        <m:sty m:val="p"/>
                      </m:rPr>
                      <m:t>LCS</m:t>
                    </m:r>
                    <m:d>
                      <m:dPr>
                        <m:begChr m:val="("/>
                        <m:endChr m:val=")"/>
                        <m:sepChr m:val=""/>
                        <m:grow/>
                      </m:dPr>
                      <m:e>
                        <m:r>
                          <m:t>s</m:t>
                        </m:r>
                        <m:r>
                          <m:rPr>
                            <m:sty m:val="p"/>
                          </m:rPr>
                          <m:t>,</m:t>
                        </m:r>
                        <m:r>
                          <m:t>t</m:t>
                        </m:r>
                      </m:e>
                    </m:d>
                    <m:r>
                      <m:rPr>
                        <m:sty m:val="p"/>
                      </m:rPr>
                      <m:t>&lt;</m:t>
                    </m:r>
                    <m:r>
                      <m:t>10</m:t>
                    </m:r>
                  </m:e>
                </m:mr>
                <m:mr>
                  <m:e>
                    <m:r>
                      <m:t>G</m:t>
                    </m:r>
                    <m:r>
                      <m:rPr>
                        <m:sty m:val="p"/>
                      </m:rPr>
                      <m:t>,</m:t>
                    </m:r>
                  </m:e>
                  <m:e>
                    <m:r>
                      <m:rPr>
                        <m:nor/>
                        <m:sty m:val="p"/>
                      </m:rPr>
                      <m:t>if </m:t>
                    </m:r>
                    <m:r>
                      <m:t>10</m:t>
                    </m:r>
                    <m:r>
                      <m:rPr>
                        <m:sty m:val="p"/>
                      </m:rPr>
                      <m:t>≤</m:t>
                    </m:r>
                    <m:r>
                      <m:rPr>
                        <m:nor/>
                        <m:sty m:val="p"/>
                      </m:rPr>
                      <m:t>LCS</m:t>
                    </m:r>
                    <m:d>
                      <m:dPr>
                        <m:begChr m:val="("/>
                        <m:endChr m:val=")"/>
                        <m:sepChr m:val=""/>
                        <m:grow/>
                      </m:dPr>
                      <m:e>
                        <m:r>
                          <m:t>s</m:t>
                        </m:r>
                        <m:r>
                          <m:rPr>
                            <m:sty m:val="p"/>
                          </m:rPr>
                          <m:t>,</m:t>
                        </m:r>
                        <m:r>
                          <m:t>t</m:t>
                        </m:r>
                      </m:e>
                    </m:d>
                    <m:r>
                      <m:rPr>
                        <m:sty m:val="p"/>
                      </m:rPr>
                      <m:t>&lt;</m:t>
                    </m:r>
                    <m:r>
                      <m:t>13</m:t>
                    </m:r>
                  </m:e>
                </m:mr>
                <m:mr>
                  <m:e>
                    <m:r>
                      <m:t>F</m:t>
                    </m:r>
                    <m:r>
                      <m:rPr>
                        <m:sty m:val="p"/>
                      </m:rPr>
                      <m:t>,</m:t>
                    </m:r>
                  </m:e>
                  <m:e>
                    <m:r>
                      <m:rPr>
                        <m:nor/>
                        <m:sty m:val="p"/>
                      </m:rPr>
                      <m:t>if </m:t>
                    </m:r>
                    <m:r>
                      <m:t>13</m:t>
                    </m:r>
                    <m:r>
                      <m:rPr>
                        <m:sty m:val="p"/>
                      </m:rPr>
                      <m:t>≤</m:t>
                    </m:r>
                    <m:r>
                      <m:rPr>
                        <m:nor/>
                        <m:sty m:val="p"/>
                      </m:rPr>
                      <m:t>LCS</m:t>
                    </m:r>
                    <m:d>
                      <m:dPr>
                        <m:begChr m:val="("/>
                        <m:endChr m:val=")"/>
                        <m:sepChr m:val=""/>
                        <m:grow/>
                      </m:dPr>
                      <m:e>
                        <m:r>
                          <m:t>s</m:t>
                        </m:r>
                        <m:r>
                          <m:rPr>
                            <m:sty m:val="p"/>
                          </m:rPr>
                          <m:t>,</m:t>
                        </m:r>
                        <m:r>
                          <m:t>t</m:t>
                        </m:r>
                      </m:e>
                    </m:d>
                    <m:r>
                      <m:rPr>
                        <m:sty m:val="p"/>
                      </m:rPr>
                      <m:t>&lt;</m:t>
                    </m:r>
                    <m:r>
                      <m:t>17</m:t>
                    </m:r>
                  </m:e>
                </m:mr>
                <m:mr>
                  <m:e>
                    <m:r>
                      <m:t>E</m:t>
                    </m:r>
                    <m:r>
                      <m:rPr>
                        <m:sty m:val="p"/>
                      </m:rPr>
                      <m:t>,</m:t>
                    </m:r>
                  </m:e>
                  <m:e>
                    <m:r>
                      <m:rPr>
                        <m:nor/>
                        <m:sty m:val="p"/>
                      </m:rPr>
                      <m:t>if </m:t>
                    </m:r>
                    <m:r>
                      <m:rPr>
                        <m:nor/>
                        <m:sty m:val="p"/>
                      </m:rPr>
                      <m:t>LCS</m:t>
                    </m:r>
                    <m:d>
                      <m:dPr>
                        <m:begChr m:val="("/>
                        <m:endChr m:val=")"/>
                        <m:sepChr m:val=""/>
                        <m:grow/>
                      </m:dPr>
                      <m:e>
                        <m:r>
                          <m:t>s</m:t>
                        </m:r>
                        <m:r>
                          <m:rPr>
                            <m:sty m:val="p"/>
                          </m:rPr>
                          <m:t>,</m:t>
                        </m:r>
                        <m:r>
                          <m:t>t</m:t>
                        </m:r>
                      </m:e>
                    </m:d>
                    <m:r>
                      <m:rPr>
                        <m:sty m:val="p"/>
                      </m:rPr>
                      <m:t>≥</m:t>
                    </m:r>
                    <m:r>
                      <m:t>17</m:t>
                    </m:r>
                  </m:e>
                </m:mr>
                <m:mr>
                  <m:e/>
                </m:mr>
              </m:m>
            </m:e>
          </m:d>
        </m:oMath>
      </m:oMathPara>
    </w:p>
    <w:p>
      <w:pPr>
        <w:pStyle w:val="FirstParagraph"/>
      </w:pPr>
      <w:r>
        <w:t xml:space="preserve">この式では、</w:t>
      </w:r>
      <m:oMath>
        <m:r>
          <m:t>s</m:t>
        </m:r>
      </m:oMath>
      <w:r>
        <w:t xml:space="preserve"> </w:t>
      </w:r>
      <w:r>
        <w:t xml:space="preserve">はソーステキスト（和歌）における語のメタコードであり、</w:t>
      </w:r>
      <m:oMath>
        <m:r>
          <m:t>t</m:t>
        </m:r>
      </m:oMath>
      <w:r>
        <w:t xml:space="preserve"> </w:t>
      </w:r>
      <w:r>
        <w:t xml:space="preserve">はターゲットテキスト（現代語訳）における語のメタコードである。</w:t>
      </w:r>
      <m:oMath>
        <m:r>
          <m:rPr>
            <m:nor/>
            <m:sty m:val="p"/>
          </m:rPr>
          <m:t>LCS</m:t>
        </m:r>
        <m:d>
          <m:dPr>
            <m:begChr m:val="("/>
            <m:endChr m:val=")"/>
            <m:sepChr m:val=""/>
            <m:grow/>
          </m:dPr>
          <m:e>
            <m:r>
              <m:t>s</m:t>
            </m:r>
            <m:r>
              <m:rPr>
                <m:sty m:val="p"/>
              </m:rPr>
              <m:t>,</m:t>
            </m:r>
            <m:r>
              <m:t>t</m:t>
            </m:r>
          </m:e>
        </m:d>
      </m:oMath>
      <w:r>
        <w:t xml:space="preserve"> </w:t>
      </w:r>
      <w:r>
        <w:t xml:space="preserve">は</w:t>
      </w:r>
      <w:r>
        <w:t xml:space="preserve"> </w:t>
      </w:r>
      <m:oMath>
        <m:r>
          <m:t>s</m:t>
        </m:r>
      </m:oMath>
      <w:r>
        <w:t xml:space="preserve">,</w:t>
      </w:r>
      <w:r>
        <w:t xml:space="preserve"> </w:t>
      </w:r>
      <m:oMath>
        <m:r>
          <m:t>t</m:t>
        </m:r>
      </m:oMath>
      <w:r>
        <w:t xml:space="preserve"> </w:t>
      </w:r>
      <w:r>
        <w:t xml:space="preserve">二語のメタコードの Longest common subsequence である。以下具体の分類例をあげる。</w:t>
      </w:r>
    </w:p>
    <w:p>
      <w:pPr>
        <w:pStyle w:val="Compact"/>
        <w:numPr>
          <w:ilvl w:val="0"/>
          <w:numId w:val="1002"/>
        </w:numPr>
      </w:pPr>
      <w:r>
        <w:rPr>
          <w:b/>
          <w:bCs/>
        </w:rPr>
        <w:t xml:space="preserve">Unmatch</w:t>
      </w:r>
      <w:r>
        <w:t xml:space="preserve"> </w:t>
      </w:r>
      <w:r>
        <w:t xml:space="preserve">(</w:t>
      </w:r>
      <m:oMath>
        <m:r>
          <m:rPr>
            <m:nor/>
            <m:sty m:val="p"/>
          </m:rPr>
          <m:t>match</m:t>
        </m:r>
        <m:d>
          <m:dPr>
            <m:begChr m:val="("/>
            <m:endChr m:val=")"/>
            <m:sepChr m:val=""/>
            <m:grow/>
          </m:dPr>
          <m:e>
            <m:r>
              <m:t>s</m:t>
            </m:r>
            <m:r>
              <m:rPr>
                <m:sty m:val="p"/>
              </m:rPr>
              <m:t>,</m:t>
            </m:r>
            <m:r>
              <m:t>t</m:t>
            </m:r>
          </m:e>
        </m:d>
        <m:r>
          <m:rPr>
            <m:sty m:val="p"/>
          </m:rPr>
          <m:t>∈</m:t>
        </m:r>
        <m:r>
          <m:t>U</m:t>
        </m:r>
      </m:oMath>
      <w:r>
        <w:t xml:space="preserve">;</w:t>
      </w:r>
      <w:r>
        <w:t xml:space="preserve"> </w:t>
      </w:r>
      <m:oMath>
        <m:r>
          <m:rPr>
            <m:nor/>
            <m:sty m:val="p"/>
          </m:rPr>
          <m:t>LCS</m:t>
        </m:r>
        <m:d>
          <m:dPr>
            <m:begChr m:val="("/>
            <m:endChr m:val=")"/>
            <m:sepChr m:val=""/>
            <m:grow/>
          </m:dPr>
          <m:e>
            <m:r>
              <m:t>s</m:t>
            </m:r>
            <m:r>
              <m:rPr>
                <m:sty m:val="p"/>
              </m:rPr>
              <m:t>,</m:t>
            </m:r>
            <m:r>
              <m:t>t</m:t>
            </m:r>
          </m:e>
        </m:d>
        <m:r>
          <m:rPr>
            <m:sty m:val="p"/>
          </m:rPr>
          <m:t>=</m:t>
        </m:r>
        <m:r>
          <m:t>4</m:t>
        </m:r>
      </m:oMath>
      <w:r>
        <w:t xml:space="preserve">):</w:t>
      </w:r>
    </w:p>
    <w:p>
      <w:pPr>
        <w:pStyle w:val="Compact"/>
        <w:numPr>
          <w:ilvl w:val="0"/>
          <w:numId w:val="1003"/>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03"/>
        </w:numPr>
      </w:pPr>
      <m:oMath>
        <m:r>
          <m:t>t</m:t>
        </m:r>
        <m:r>
          <m:rPr>
            <m:sty m:val="p"/>
          </m:rPr>
          <m:t>=</m:t>
        </m:r>
      </m:oMath>
      <w:r>
        <w:t xml:space="preserve"> </w:t>
      </w:r>
      <w:r>
        <w:rPr>
          <w:rStyle w:val="VerbatimChar"/>
        </w:rPr>
        <w:t xml:space="preserve">[BG-0]8-0061-07-010-A</w:t>
      </w:r>
      <w:r>
        <w:t xml:space="preserve"> </w:t>
      </w:r>
      <w:r>
        <w:t xml:space="preserve">の (of, genetive case)</w:t>
      </w:r>
    </w:p>
    <w:p>
      <w:pPr>
        <w:pStyle w:val="Compact"/>
        <w:numPr>
          <w:ilvl w:val="0"/>
          <w:numId w:val="1004"/>
        </w:numPr>
      </w:pPr>
      <w:r>
        <w:rPr>
          <w:b/>
          <w:bCs/>
        </w:rPr>
        <w:t xml:space="preserve">Group match</w:t>
      </w:r>
      <w:r>
        <w:t xml:space="preserve"> </w:t>
      </w:r>
      <w:r>
        <w:t xml:space="preserve">(</w:t>
      </w:r>
      <m:oMath>
        <m:r>
          <m:rPr>
            <m:nor/>
            <m:sty m:val="p"/>
          </m:rPr>
          <m:t>match</m:t>
        </m:r>
        <m:d>
          <m:dPr>
            <m:begChr m:val="("/>
            <m:endChr m:val=")"/>
            <m:sepChr m:val=""/>
            <m:grow/>
          </m:dPr>
          <m:e>
            <m:r>
              <m:t>s</m:t>
            </m:r>
            <m:r>
              <m:rPr>
                <m:sty m:val="p"/>
              </m:rPr>
              <m:t>,</m:t>
            </m:r>
            <m:r>
              <m:t>t</m:t>
            </m:r>
          </m:e>
        </m:d>
        <m:r>
          <m:rPr>
            <m:sty m:val="p"/>
          </m:rPr>
          <m:t>∈</m:t>
        </m:r>
        <m:r>
          <m:t>G</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0"/>
          <w:numId w:val="1005"/>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05"/>
        </w:numPr>
      </w:pPr>
      <m:oMath>
        <m:r>
          <m:t>t</m:t>
        </m:r>
        <m:r>
          <m:rPr>
            <m:sty m:val="p"/>
          </m:rPr>
          <m:t>=</m:t>
        </m:r>
      </m:oMath>
      <w:r>
        <w:t xml:space="preserve"> </w:t>
      </w:r>
      <w:r>
        <w:rPr>
          <w:rStyle w:val="VerbatimChar"/>
        </w:rPr>
        <w:t xml:space="preserve">[BG-01-5520-]19-115-A</w:t>
      </w:r>
      <w:r>
        <w:t xml:space="preserve"> </w:t>
      </w:r>
      <w:r>
        <w:t xml:space="preserve">秋萩 (autumn)</w:t>
      </w:r>
    </w:p>
    <w:p>
      <w:pPr>
        <w:pStyle w:val="Compact"/>
        <w:numPr>
          <w:ilvl w:val="0"/>
          <w:numId w:val="1006"/>
        </w:numPr>
      </w:pPr>
      <w:r>
        <w:rPr>
          <w:b/>
          <w:bCs/>
        </w:rPr>
        <w:t xml:space="preserve">Field match</w:t>
      </w:r>
      <w:r>
        <w:t xml:space="preserve"> </w:t>
      </w:r>
      <w:r>
        <w:t xml:space="preserve">(</w:t>
      </w:r>
      <m:oMath>
        <m:r>
          <m:rPr>
            <m:nor/>
            <m:sty m:val="p"/>
          </m:rPr>
          <m:t>match</m:t>
        </m:r>
        <m:d>
          <m:dPr>
            <m:begChr m:val="("/>
            <m:endChr m:val=")"/>
            <m:sepChr m:val=""/>
            <m:grow/>
          </m:dPr>
          <m:e>
            <m:r>
              <m:t>s</m:t>
            </m:r>
            <m:r>
              <m:rPr>
                <m:sty m:val="p"/>
              </m:rPr>
              <m:t>,</m:t>
            </m:r>
            <m:r>
              <m:t>t</m:t>
            </m:r>
          </m:e>
        </m:d>
        <m:r>
          <m:rPr>
            <m:sty m:val="p"/>
          </m:rPr>
          <m:t>∈</m:t>
        </m:r>
        <m:r>
          <m:t>F</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0"/>
          <w:numId w:val="1007"/>
        </w:numPr>
      </w:pPr>
      <m:oMath>
        <m:r>
          <m:t>s</m:t>
        </m:r>
        <m:r>
          <m:rPr>
            <m:sty m:val="p"/>
          </m:rPr>
          <m:t>=</m:t>
        </m:r>
      </m:oMath>
      <w:r>
        <w:t xml:space="preserve"> </w:t>
      </w:r>
      <w:r>
        <w:rPr>
          <w:rStyle w:val="VerbatimChar"/>
        </w:rPr>
        <w:t xml:space="preserve">[BG-01-2030-01-]0300</w:t>
      </w:r>
      <w:r>
        <w:t xml:space="preserve"> </w:t>
      </w:r>
      <w:r>
        <w:t xml:space="preserve">神 (god)</w:t>
      </w:r>
    </w:p>
    <w:p>
      <w:pPr>
        <w:pStyle w:val="Compact"/>
        <w:numPr>
          <w:ilvl w:val="0"/>
          <w:numId w:val="1007"/>
        </w:numPr>
      </w:pPr>
      <m:oMath>
        <m:r>
          <m:t>t</m:t>
        </m:r>
        <m:r>
          <m:rPr>
            <m:sty m:val="p"/>
          </m:rPr>
          <m:t>=</m:t>
        </m:r>
      </m:oMath>
      <w:r>
        <w:t xml:space="preserve"> </w:t>
      </w:r>
      <w:r>
        <w:rPr>
          <w:rStyle w:val="VerbatimChar"/>
        </w:rPr>
        <w:t xml:space="preserve">[BG-01-2030-01-]030-A</w:t>
      </w:r>
      <w:r>
        <w:t xml:space="preserve"> </w:t>
      </w:r>
      <w:r>
        <w:t xml:space="preserve">仏 (Buddha)</w:t>
      </w:r>
    </w:p>
    <w:p>
      <w:pPr>
        <w:pStyle w:val="Compact"/>
        <w:numPr>
          <w:ilvl w:val="0"/>
          <w:numId w:val="1008"/>
        </w:numPr>
      </w:pPr>
      <w:r>
        <w:rPr>
          <w:b/>
          <w:bCs/>
        </w:rPr>
        <w:t xml:space="preserve">Exact match</w:t>
      </w:r>
      <w:r>
        <w:t xml:space="preserve"> </w:t>
      </w:r>
      <w:r>
        <w:t xml:space="preserve">(</w:t>
      </w:r>
      <m:oMath>
        <m:r>
          <m:rPr>
            <m:nor/>
            <m:sty m:val="p"/>
          </m:rPr>
          <m:t>match</m:t>
        </m:r>
        <m:d>
          <m:dPr>
            <m:begChr m:val="("/>
            <m:endChr m:val=")"/>
            <m:sepChr m:val=""/>
            <m:grow/>
          </m:dPr>
          <m:e>
            <m:r>
              <m:t>s</m:t>
            </m:r>
            <m:r>
              <m:rPr>
                <m:sty m:val="p"/>
              </m:rPr>
              <m:t>,</m:t>
            </m:r>
            <m:r>
              <m:t>t</m:t>
            </m:r>
          </m:e>
        </m:d>
        <m:r>
          <m:rPr>
            <m:sty m:val="p"/>
          </m:rPr>
          <m:t>∈</m:t>
        </m:r>
        <m:r>
          <m:t>E</m:t>
        </m:r>
      </m:oMath>
      <w:r>
        <w:t xml:space="preserve">;</w:t>
      </w:r>
      <w:r>
        <w:t xml:space="preserve"> </w:t>
      </w:r>
      <m:oMath>
        <m:r>
          <m:rPr>
            <m:nor/>
            <m:sty m:val="p"/>
          </m:rPr>
          <m:t>LCS</m:t>
        </m:r>
        <m:d>
          <m:dPr>
            <m:begChr m:val="("/>
            <m:endChr m:val=")"/>
            <m:sepChr m:val=""/>
            <m:grow/>
          </m:dPr>
          <m:e>
            <m:r>
              <m:t>s</m:t>
            </m:r>
            <m:r>
              <m:rPr>
                <m:sty m:val="p"/>
              </m:rPr>
              <m:t>,</m:t>
            </m:r>
            <m:r>
              <m:t>t</m:t>
            </m:r>
          </m:e>
        </m:d>
        <m:r>
          <m:rPr>
            <m:sty m:val="p"/>
          </m:rPr>
          <m:t>=</m:t>
        </m:r>
        <m:r>
          <m:t>17</m:t>
        </m:r>
      </m:oMath>
      <w:r>
        <w:t xml:space="preserve">):</w:t>
      </w:r>
    </w:p>
    <w:p>
      <w:pPr>
        <w:pStyle w:val="Compact"/>
        <w:numPr>
          <w:ilvl w:val="0"/>
          <w:numId w:val="1009"/>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09"/>
        </w:numPr>
      </w:pPr>
      <m:oMath>
        <m:r>
          <m:t>t</m:t>
        </m:r>
        <m:r>
          <m:rPr>
            <m:sty m:val="p"/>
          </m:rPr>
          <m:t>=</m:t>
        </m:r>
      </m:oMath>
      <w:r>
        <w:t xml:space="preserve"> </w:t>
      </w:r>
      <w:r>
        <w:rPr>
          <w:rStyle w:val="VerbatimChar"/>
        </w:rPr>
        <w:t xml:space="preserve">[BG-01-5520-20-040]-A</w:t>
      </w:r>
      <w:r>
        <w:t xml:space="preserve"> </w:t>
      </w:r>
      <w:r>
        <w:t xml:space="preserve">梅 (plum)</w:t>
      </w:r>
    </w:p>
    <w:bookmarkEnd w:id="47"/>
    <w:bookmarkStart w:id="50" w:name="バッグ法による不追加率の計算"/>
    <w:p>
      <w:pPr>
        <w:pStyle w:val="Heading4"/>
      </w:pPr>
      <w:r>
        <w:t xml:space="preserve">バッグ法による不追加率の計算</w:t>
      </w:r>
    </w:p>
    <w:p>
      <w:pPr>
        <w:pStyle w:val="FirstParagraph"/>
      </w:pPr>
      <w:r>
        <w:t xml:space="preserve">バッグ法による追加率（現代語訳における和歌原文に対する追加要素の割合）は、2 つのテキストを 2 つの集合と見做し、順序関係せず集合における一致語の数をもとに計算する。ソーステキスト（和歌）</w:t>
      </w:r>
      <m:oMath>
        <m:r>
          <m:t>S</m:t>
        </m:r>
        <m:r>
          <m:rPr>
            <m:sty m:val="p"/>
          </m:rPr>
          <m:t>=</m:t>
        </m:r>
        <m:sSub>
          <m:e>
            <m:d>
              <m:dPr>
                <m:begChr m:val="("/>
                <m:endChr m:val=")"/>
                <m:sepChr m:val=""/>
                <m:grow/>
              </m:dPr>
              <m:e>
                <m:sSub>
                  <m:e>
                    <m:r>
                      <m:t>s</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とターゲットテキスト（現代語訳）</w:t>
      </w:r>
      <w:r>
        <w:t xml:space="preserve"> </w:t>
      </w:r>
      <m:oMath>
        <m:r>
          <m:t>T</m:t>
        </m:r>
        <m:r>
          <m:rPr>
            <m:sty m:val="p"/>
          </m:rPr>
          <m:t>=</m:t>
        </m:r>
        <m:sSub>
          <m:e>
            <m:d>
              <m:dPr>
                <m:begChr m:val="("/>
                <m:endChr m:val=")"/>
                <m:sepChr m:val=""/>
                <m:grow/>
              </m:dPr>
              <m:e>
                <m:sSub>
                  <m:e>
                    <m:r>
                      <m:t>t</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が与えられた時、2 テキストのターゲットテキストにおける追加率の計算は下記に従う。</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T</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
                  <m:e>
                    <m:r>
                      <m:rPr>
                        <m:nor/>
                        <m:sty m:val="p"/>
                      </m:rPr>
                      <m:t>agreement</m:t>
                    </m:r>
                  </m:e>
                  <m:sub>
                    <m:r>
                      <m:t>S</m:t>
                    </m:r>
                  </m:sub>
                </m:sSub>
              </m:e>
            </m:mr>
            <m:mr>
              <m:e>
                <m:sSub>
                  <m:e>
                    <m:r>
                      <m:rPr>
                        <m:nor/>
                        <m:sty m:val="p"/>
                      </m:rPr>
                      <m:t>agreement</m:t>
                    </m:r>
                  </m:e>
                  <m:sub>
                    <m:r>
                      <m:t>S</m:t>
                    </m:r>
                  </m:sub>
                </m:sSub>
              </m:e>
              <m:e>
                <m:r>
                  <m:rPr>
                    <m:sty m:val="p"/>
                  </m:rPr>
                  <m:t>=</m:t>
                </m:r>
                <m:nary>
                  <m:naryPr>
                    <m:chr m:val="∑"/>
                    <m:limLoc m:val="undOvr"/>
                    <m:subHide m:val="off"/>
                    <m:supHide m:val="on"/>
                  </m:naryPr>
                  <m:sub>
                    <m:sSub>
                      <m:e>
                        <m:r>
                          <m:t>s</m:t>
                        </m:r>
                      </m:e>
                      <m:sub>
                        <m:r>
                          <m:t>i</m:t>
                        </m:r>
                      </m:sub>
                    </m:sSub>
                    <m:r>
                      <m:rPr>
                        <m:sty m:val="p"/>
                      </m:rPr>
                      <m:t>∈</m:t>
                    </m:r>
                    <m:r>
                      <m:t>S</m:t>
                    </m:r>
                  </m:sub>
                  <m:sup>
                    <m:r>
                      <m:t>​</m:t>
                    </m:r>
                  </m:sup>
                  <m:e>
                    <m:r>
                      <m:rPr>
                        <m:sty m:val="p"/>
                        <m:scr m:val="double-struck"/>
                      </m:rPr>
                      <m:t>I</m:t>
                    </m:r>
                  </m:e>
                </m:nary>
                <m:d>
                  <m:dPr>
                    <m:begChr m:val="("/>
                    <m:endChr m:val=")"/>
                    <m:sepChr m:val=""/>
                    <m:grow/>
                  </m:dPr>
                  <m:e>
                    <m:r>
                      <m:rPr>
                        <m:sty m:val="p"/>
                      </m:rPr>
                      <m:t>∃</m:t>
                    </m:r>
                    <m:sSub>
                      <m:e>
                        <m:r>
                          <m:t>t</m:t>
                        </m:r>
                      </m:e>
                      <m:sub>
                        <m:r>
                          <m:t>j</m:t>
                        </m:r>
                      </m:sub>
                    </m:sSub>
                    <m:r>
                      <m:rPr>
                        <m:sty m:val="p"/>
                      </m:rPr>
                      <m:t>∈</m:t>
                    </m:r>
                    <m:r>
                      <m:t>T</m:t>
                    </m:r>
                    <m:r>
                      <m:rPr>
                        <m:nor/>
                        <m:sty m:val="p"/>
                      </m:rPr>
                      <m:t> such that </m:t>
                    </m:r>
                    <m:r>
                      <m:rPr>
                        <m:nor/>
                        <m:sty m:val="p"/>
                      </m:rPr>
                      <m:t>match</m:t>
                    </m:r>
                    <m:d>
                      <m:dPr>
                        <m:begChr m:val="("/>
                        <m:endChr m:val=")"/>
                        <m:sepChr m:val=""/>
                        <m:grow/>
                      </m:dPr>
                      <m:e>
                        <m:sSub>
                          <m:e>
                            <m:r>
                              <m:t>s</m:t>
                            </m:r>
                          </m:e>
                          <m:sub>
                            <m:r>
                              <m:t>i</m:t>
                            </m:r>
                          </m:sub>
                        </m:sSub>
                        <m:r>
                          <m:rPr>
                            <m:sty m:val="p"/>
                          </m:rPr>
                          <m:t>,</m:t>
                        </m:r>
                        <m:sSub>
                          <m:e>
                            <m:r>
                              <m:t>t</m:t>
                            </m:r>
                          </m:e>
                          <m:sub>
                            <m:r>
                              <m:t>j</m:t>
                            </m:r>
                          </m:sub>
                        </m:sSub>
                      </m:e>
                    </m:d>
                    <m:r>
                      <m:rPr>
                        <m:sty m:val="p"/>
                      </m:rPr>
                      <m:t>∉</m:t>
                    </m:r>
                    <m:r>
                      <m:t>U</m:t>
                    </m:r>
                  </m:e>
                </m:d>
              </m:e>
            </m:mr>
          </m:m>
        </m:oMath>
      </m:oMathPara>
    </w:p>
    <w:p>
      <w:pPr>
        <w:pStyle w:val="FirstParagraph"/>
      </w:pPr>
      <m:oMath>
        <m:sSub>
          <m:e>
            <m:r>
              <m:rPr>
                <m:nor/>
                <m:sty m:val="p"/>
              </m:rPr>
              <m:t>agreement</m:t>
            </m:r>
          </m:e>
          <m:sub>
            <m:r>
              <m:t>S</m:t>
            </m:r>
          </m:sub>
        </m:sSub>
      </m:oMath>
      <w:r>
        <w:t xml:space="preserve"> </w:t>
      </w:r>
      <w:r>
        <w:t xml:space="preserve">は、ソーステキストにおいて一致語をもつトークンの数である。</w:t>
      </w:r>
      <m:oMath>
        <m:f>
          <m:fPr>
            <m:type m:val="bar"/>
          </m:fPr>
          <m:num>
            <m:r>
              <m:t>1</m:t>
            </m:r>
          </m:num>
          <m:den>
            <m:d>
              <m:dPr>
                <m:begChr m:val="|"/>
                <m:endChr m:val="|"/>
                <m:sepChr m:val=""/>
                <m:grow/>
              </m:dPr>
              <m:e>
                <m:r>
                  <m:t>T</m:t>
                </m:r>
              </m:e>
            </m:d>
          </m:den>
        </m:f>
        <m:sSub>
          <m:e>
            <m:r>
              <m:rPr>
                <m:nor/>
                <m:sty m:val="p"/>
              </m:rPr>
              <m:t>agreement</m:t>
            </m:r>
          </m:e>
          <m:sub>
            <m:r>
              <m:t>S</m:t>
            </m:r>
          </m:sub>
        </m:sSub>
      </m:oMath>
      <w:r>
        <w:t xml:space="preserve"> </w:t>
      </w:r>
      <w:r>
        <w:t xml:space="preserve">を一致率（バッグ法）と定義する。分母はターゲットテキストのトークン数</w:t>
      </w:r>
      <w:r>
        <w:t xml:space="preserve"> </w:t>
      </w:r>
      <m:oMath>
        <m:d>
          <m:dPr>
            <m:begChr m:val="|"/>
            <m:endChr m:val="|"/>
            <m:sepChr m:val=""/>
            <m:grow/>
          </m:dPr>
          <m:e>
            <m:r>
              <m:t>T</m:t>
            </m:r>
          </m:e>
        </m:d>
      </m:oMath>
      <w:r>
        <w:t xml:space="preserve"> </w:t>
      </w:r>
      <w:r>
        <w:t xml:space="preserve">にしている。</w:t>
      </w:r>
      <m:oMath>
        <m:sSub>
          <m:e>
            <m:r>
              <m:t>s</m:t>
            </m:r>
          </m:e>
          <m:sub>
            <m:r>
              <m:t>i</m:t>
            </m:r>
          </m:sub>
        </m:sSub>
      </m:oMath>
      <w:r>
        <w:t xml:space="preserve">,</w:t>
      </w:r>
      <w:r>
        <w:t xml:space="preserve"> </w:t>
      </w:r>
      <m:oMath>
        <m:sSub>
          <m:e>
            <m:r>
              <m:t>t</m:t>
            </m:r>
          </m:e>
          <m:sub>
            <m:r>
              <m:t>j</m:t>
            </m:r>
          </m:sub>
        </m:sSub>
      </m:oMath>
      <w:r>
        <w:t xml:space="preserve"> </w:t>
      </w:r>
      <w:r>
        <w:t xml:space="preserve">はそれぞれソーステキストの</w:t>
      </w:r>
      <w:r>
        <w:t xml:space="preserve"> </w:t>
      </w:r>
      <m:oMath>
        <m:r>
          <m:t>i</m:t>
        </m:r>
      </m:oMath>
      <w:r>
        <w:t xml:space="preserve"> </w:t>
      </w:r>
      <w:r>
        <w:t xml:space="preserve">番目と、ターゲットテキストの</w:t>
      </w:r>
      <w:r>
        <w:t xml:space="preserve"> </w:t>
      </w:r>
      <m:oMath>
        <m:r>
          <m:t>j</m:t>
        </m:r>
      </m:oMath>
      <w:r>
        <w:t xml:space="preserve"> </w:t>
      </w:r>
      <w:r>
        <w:t xml:space="preserve">番目のトークンを意味する。追加率は 1 から一致率を引いて計算する。</w:t>
      </w:r>
      <m:oMath>
        <m:r>
          <m:rPr>
            <m:sty m:val="p"/>
            <m:scr m:val="double-struck"/>
          </m:rPr>
          <m:t>I</m:t>
        </m:r>
      </m:oMath>
      <w:r>
        <w:t xml:space="preserve"> </w:t>
      </w:r>
      <w:r>
        <w:t xml:space="preserve">は指示関数（indicator function）であり、インプットが真（</w:t>
      </w:r>
      <m:oMath>
        <m:sSub>
          <m:e>
            <m:r>
              <m:t>s</m:t>
            </m:r>
          </m:e>
          <m:sub>
            <m:r>
              <m:t>i</m:t>
            </m:r>
          </m:sub>
        </m:sSub>
      </m:oMath>
      <w:r>
        <w:t xml:space="preserve"> </w:t>
      </w:r>
      <w:r>
        <w:t xml:space="preserve">が訳において一致語をもつ）の場合 1 を、偽（</w:t>
      </w:r>
      <m:oMath>
        <m:sSub>
          <m:e>
            <m:r>
              <m:t>s</m:t>
            </m:r>
          </m:e>
          <m:sub>
            <m:r>
              <m:t>i</m:t>
            </m:r>
          </m:sub>
        </m:sSub>
      </m:oMath>
      <w:r>
        <w:t xml:space="preserve"> </w:t>
      </w:r>
      <w:r>
        <w:t xml:space="preserve">が訳において一致語をもたない）の場合 0 を返す。</w:t>
      </w:r>
      <w:r>
        <w:rPr>
          <w:rStyle w:val="FootnoteReference"/>
        </w:rPr>
        <w:footnoteReference w:id="48"/>
      </w:r>
    </w:p>
    <w:p>
      <w:pPr>
        <w:pStyle w:val="BodyText"/>
      </w:pPr>
      <w:r>
        <w:t xml:space="preserve">ここでの計算で注意されたいのは、この計算ではソーステキストの語について一致語をもつか、もたないかを、ソーステキストの視点から見ていることである。ターゲットテキストにおいて多対一で和歌の要素と一致しても、その複数の一語のみが一語と見做し、その他の語を追加要素にあてるという認識である。このようにする理由は処理の一貫性を重視するためである。例えば、「散る」を「散り乱れる」と訳している場合を多対一の訳とすべきかは曖昧であるので、一貫して「乱れる」のような部分を追加要素と見る。つまり、計算では一対一の訳を大前提としている。</w:t>
      </w:r>
      <w:r>
        <w:rPr>
          <w:rStyle w:val="FootnoteReference"/>
        </w:rPr>
        <w:footnoteReference w:id="49"/>
      </w:r>
    </w:p>
    <w:p>
      <w:pPr>
        <w:pStyle w:val="BodyText"/>
      </w:pPr>
      <w:r>
        <w:t xml:space="preserve">一方で、不一致率は、原文にある要素のうち、訳において一致語が存在しない割合として同様な計算を行う。ここではもちろん、分母をソーステキストの数にしている。</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S</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S</m:t>
                        </m:r>
                      </m:e>
                    </m:d>
                  </m:den>
                </m:f>
                <m:sSub>
                  <m:e>
                    <m:r>
                      <m:rPr>
                        <m:nor/>
                        <m:sty m:val="p"/>
                      </m:rPr>
                      <m:t>agreement</m:t>
                    </m:r>
                  </m:e>
                  <m:sub>
                    <m:r>
                      <m:t>S</m:t>
                    </m:r>
                  </m:sub>
                </m:sSub>
              </m:e>
            </m:mr>
          </m:m>
        </m:oMath>
      </m:oMathPara>
    </w:p>
    <w:p>
      <w:pPr>
        <w:pStyle w:val="FirstParagraph"/>
      </w:pPr>
      <w:r>
        <w:t xml:space="preserve">バッグ法で計算された追加率に、統計分析に用いて訳者の主観的に意識している翻訳アプローチによる影響が存在するかを検証する。不一致率については初歩的な記述統計で確認する。</w:t>
      </w:r>
    </w:p>
    <w:bookmarkEnd w:id="50"/>
    <w:bookmarkStart w:id="53" w:name="整列法による追加率の計算"/>
    <w:p>
      <w:pPr>
        <w:pStyle w:val="Heading4"/>
      </w:pPr>
      <w:r>
        <w:t xml:space="preserve">整列法による追加率の計算</w:t>
      </w:r>
    </w:p>
    <w:p>
      <w:pPr>
        <w:pStyle w:val="FirstParagraph"/>
      </w:pPr>
      <w:r>
        <w:t xml:space="preserve">整列法による計算について説明する。整列法による計算は、文字通りにまずアライメントを推定してから、アライメントの 2 語の一致の数で計算を行う。集合としてではなく、シーケンスとして順序を考慮する計算である。</w:t>
      </w:r>
    </w:p>
    <w:p>
      <w:pPr>
        <w:pStyle w:val="BodyText"/>
      </w:pPr>
      <w:r>
        <w:t xml:space="preserve">本稿では、分類語彙表番号を用いた動的計画法に基づきアライメントを行う。動的計画法を用いて 2 つのシーケンス間のアライメントを計算するためのスコーア関数は以下のように定義する。</w:t>
      </w:r>
    </w:p>
    <w:p>
      <w:pPr>
        <w:pStyle w:val="BodyText"/>
      </w:pPr>
      <w:r>
        <w:t xml:space="preserve">$$</w:t>
      </w:r>
      <w:r>
        <w:t xml:space="preserve"> </w:t>
      </w:r>
      <w:r>
        <w:t xml:space="preserve"> </w:t>
      </w:r>
      <w:r>
        <w:t xml:space="preserve">$$</w:t>
      </w:r>
    </w:p>
    <w:p>
      <w:pPr>
        <w:pStyle w:val="BodyText"/>
      </w:pPr>
      <w:r>
        <w:t xml:space="preserve">ソーステキストのシーケンス</w:t>
      </w:r>
      <w:r>
        <w:t xml:space="preserve"> </w:t>
      </w:r>
      <m:oMath>
        <m:r>
          <m:t>S</m:t>
        </m:r>
      </m:oMath>
      <w:r>
        <w:t xml:space="preserve"> </w:t>
      </w:r>
      <w:r>
        <w:t xml:space="preserve">とターゲットテキストのシーケンス</w:t>
      </w:r>
      <w:r>
        <w:t xml:space="preserve"> </w:t>
      </w:r>
      <m:oMath>
        <m:r>
          <m:t>T</m:t>
        </m:r>
      </m:oMath>
      <w:r>
        <w:t xml:space="preserve"> </w:t>
      </w:r>
      <w:r>
        <w:t xml:space="preserve">の部分列を用いて、位置</w:t>
      </w:r>
      <w:r>
        <w:t xml:space="preserve"> </w:t>
      </w:r>
      <m:oMath>
        <m:r>
          <m:t>i</m:t>
        </m:r>
      </m:oMath>
      <w:r>
        <w:t xml:space="preserve"> </w:t>
      </w:r>
      <w:r>
        <w:t xml:space="preserve">および</w:t>
      </w:r>
      <w:r>
        <w:t xml:space="preserve"> </w:t>
      </w:r>
      <m:oMath>
        <m:r>
          <m:t>j</m:t>
        </m:r>
      </m:oMath>
      <w:r>
        <w:t xml:space="preserve"> </w:t>
      </w:r>
      <w:r>
        <w:t xml:space="preserve">までの最適なアライメントスコア</w:t>
      </w:r>
      <w:r>
        <w:t xml:space="preserve"> </w:t>
      </w:r>
      <m:oMath>
        <m:sSub>
          <m:e>
            <m:r>
              <m:rPr>
                <m:nor/>
                <m:sty m:val="p"/>
              </m:rPr>
              <m:t>S</m:t>
            </m:r>
          </m:e>
          <m:sub>
            <m:r>
              <m:rPr>
                <m:nor/>
                <m:sty m:val="p"/>
              </m:rPr>
              <m:t>DP</m:t>
            </m:r>
          </m:sub>
        </m:sSub>
        <m:d>
          <m:dPr>
            <m:begChr m:val="("/>
            <m:endChr m:val=")"/>
            <m:sepChr m:val=""/>
            <m:grow/>
          </m:dPr>
          <m:e>
            <m:r>
              <m:t>i</m:t>
            </m:r>
            <m:r>
              <m:rPr>
                <m:sty m:val="p"/>
              </m:rPr>
              <m:t>,</m:t>
            </m:r>
            <m:r>
              <m:t>j</m:t>
            </m:r>
          </m:e>
        </m:d>
      </m:oMath>
      <w:r>
        <w:t xml:space="preserve"> </w:t>
      </w:r>
      <w:r>
        <w:t xml:space="preserve">を再帰的に計算する。重みづけ関数</w:t>
      </w:r>
      <w:r>
        <w:t xml:space="preserve"> </w:t>
      </w:r>
      <m:oMath>
        <m:r>
          <m:rPr>
            <m:nor/>
            <m:sty m:val="p"/>
          </m:rPr>
          <m:t>weight</m:t>
        </m:r>
        <m:d>
          <m:dPr>
            <m:begChr m:val="("/>
            <m:endChr m:val=")"/>
            <m:sepChr m:val=""/>
            <m:grow/>
          </m:dPr>
          <m:e>
            <m:r>
              <m:t>s</m:t>
            </m:r>
            <m:r>
              <m:rPr>
                <m:sty m:val="p"/>
              </m:rPr>
              <m:t>,</m:t>
            </m:r>
            <m:r>
              <m:t>t</m:t>
            </m:r>
          </m:e>
        </m:d>
      </m:oMath>
      <w:r>
        <w:t xml:space="preserve"> </w:t>
      </w:r>
      <w:r>
        <w:t xml:space="preserve">は LCS の値をそのまま用いる。Unmatch の場合は</w:t>
      </w:r>
      <w:r>
        <w:t xml:space="preserve"> </w:t>
      </w:r>
      <m:oMath>
        <m:r>
          <m:rPr>
            <m:sty m:val="p"/>
          </m:rPr>
          <m:t>−</m:t>
        </m:r>
        <m:r>
          <m:t>1</m:t>
        </m:r>
      </m:oMath>
      <w:r>
        <w:t xml:space="preserve"> </w:t>
      </w:r>
      <w:r>
        <w:t xml:space="preserve">のペナルティを課す。gap はギャップ（空白）を挿入する際に課されるペナルティ (gap panelty) であり、ここでは便宜上</w:t>
      </w:r>
      <w:r>
        <w:t xml:space="preserve"> </w:t>
      </w:r>
      <m:oMath>
        <m:r>
          <m:t>0.01</m:t>
        </m:r>
      </m:oMath>
      <w:r>
        <w:t xml:space="preserve"> </w:t>
      </w:r>
      <w:r>
        <w:t xml:space="preserve">と設定する。</w:t>
      </w:r>
      <w:r>
        <w:rPr>
          <w:rStyle w:val="FootnoteReference"/>
        </w:rPr>
        <w:footnoteReference w:id="51"/>
      </w:r>
      <w:r>
        <w:t xml:space="preserve"> </w:t>
      </w:r>
      <w:r>
        <w:t xml:space="preserve">この式に基づき、最尤なアライメントを探索する。整列した結果の例は次のようになる。</w:t>
      </w:r>
    </w:p>
    <w:p>
      <w:pPr>
        <w:pStyle w:val="SourceCode"/>
      </w:pPr>
      <w:r>
        <w:rPr>
          <w:rStyle w:val="VerbatimChar"/>
        </w:rPr>
        <w:t xml:space="preserve">&gt;| 立田姫ーー手向けるーーーー神のあれ　ばこそーーーーーーー秋の木の葉の幣ーーーと散るーーーらめー [Kokinshu 298]</w:t>
      </w:r>
      <w:r>
        <w:br/>
      </w:r>
      <w:r>
        <w:rPr>
          <w:rStyle w:val="VerbatimChar"/>
        </w:rPr>
        <w:t xml:space="preserve">&gt;| 竜田姫は、手向けをするべき神があるのでーーそのつかさどる秋の木の葉が幣のように散るのであろうよ [@kubota1960Kokin]</w:t>
      </w:r>
    </w:p>
    <w:p>
      <w:pPr>
        <w:pStyle w:val="FirstParagraph"/>
      </w:pPr>
      <w:r>
        <w:t xml:space="preserve">この基礎の上で、一致率と追加率を計算する。整列後の</w:t>
      </w:r>
      <w:r>
        <w:t xml:space="preserve"> </w:t>
      </w:r>
      <m:oMath>
        <m:sSup>
          <m:e>
            <m:r>
              <m:t>S</m:t>
            </m:r>
          </m:e>
          <m:sup>
            <m:r>
              <m:rPr>
                <m:sty m:val="p"/>
              </m:rPr>
              <m:t>′</m:t>
            </m:r>
          </m:sup>
        </m:sSup>
      </m:oMath>
      <w:r>
        <w:t xml:space="preserve"> </w:t>
      </w:r>
      <w:r>
        <w:t xml:space="preserve">と</w:t>
      </w:r>
      <w:r>
        <w:t xml:space="preserve"> </w:t>
      </w:r>
      <m:oMath>
        <m:sSup>
          <m:e>
            <m:r>
              <m:t>T</m:t>
            </m:r>
          </m:e>
          <m:sup>
            <m:r>
              <m:rPr>
                <m:sty m:val="p"/>
              </m:rPr>
              <m:t>′</m:t>
            </m:r>
          </m:sup>
        </m:sSup>
      </m:oMath>
      <w:r>
        <w:t xml:space="preserve"> </w:t>
      </w:r>
      <w:r>
        <w:t xml:space="preserve">がある</w:t>
      </w:r>
      <w:r>
        <w:rPr>
          <w:rStyle w:val="FootnoteReference"/>
        </w:rPr>
        <w:footnoteReference w:id="52"/>
      </w:r>
      <w:r>
        <w:t xml:space="preserve">として、整列法による一致率</w:t>
      </w:r>
      <w:r>
        <w:t xml:space="preserve"> </w:t>
      </w:r>
      <m:oMath>
        <m:sSubSup>
          <m:e>
            <m:r>
              <m:rPr>
                <m:nor/>
                <m:sty m:val="p"/>
              </m:rPr>
              <m:t>agreement</m:t>
            </m:r>
          </m:e>
          <m:sub>
            <m:r>
              <m:t>T</m:t>
            </m:r>
          </m:sub>
          <m:sup>
            <m:r>
              <m:rPr>
                <m:sty m:val="p"/>
              </m:rPr>
              <m:t>′</m:t>
            </m:r>
          </m:sup>
        </m:sSubSup>
        <m:d>
          <m:dPr>
            <m:begChr m:val="("/>
            <m:endChr m:val=")"/>
            <m:sepChr m:val=""/>
            <m:grow/>
          </m:dPr>
          <m:e>
            <m:sSup>
              <m:e>
                <m:r>
                  <m:t>S</m:t>
                </m:r>
              </m:e>
              <m:sup>
                <m:r>
                  <m:rPr>
                    <m:sty m:val="p"/>
                  </m:rPr>
                  <m:t>′</m:t>
                </m:r>
              </m:sup>
            </m:sSup>
            <m:r>
              <m:rPr>
                <m:sty m:val="p"/>
              </m:rPr>
              <m:t>,</m:t>
            </m:r>
            <m:sSup>
              <m:e>
                <m:r>
                  <m:t>T</m:t>
                </m:r>
              </m:e>
              <m:sup>
                <m:r>
                  <m:rPr>
                    <m:sty m:val="p"/>
                  </m:rPr>
                  <m:t>′</m:t>
                </m:r>
              </m:sup>
            </m:sSup>
          </m:e>
        </m:d>
      </m:oMath>
      <w:r>
        <w:t xml:space="preserve"> </w:t>
      </w:r>
      <w:r>
        <w:t xml:space="preserve">の計算は次に示す。</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rPr>
                        <m:nor/>
                        <m:sty m:val="p"/>
                      </m:rPr>
                      <m:t>U</m:t>
                    </m:r>
                  </m:e>
                  <m:sub>
                    <m:r>
                      <m:t>T</m:t>
                    </m:r>
                  </m:sub>
                  <m:sup>
                    <m:r>
                      <m:rPr>
                        <m:sty m:val="p"/>
                      </m:rPr>
                      <m:t>′</m:t>
                    </m:r>
                  </m:sup>
                </m:sSubSup>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Sup>
                  <m:e>
                    <m:r>
                      <m:rPr>
                        <m:nor/>
                        <m:sty m:val="p"/>
                      </m:rPr>
                      <m:t>agreement</m:t>
                    </m:r>
                  </m:e>
                  <m:sub>
                    <m:r>
                      <m:t>S</m:t>
                    </m:r>
                  </m:sub>
                  <m:sup>
                    <m:r>
                      <m:rPr>
                        <m:sty m:val="p"/>
                      </m:rPr>
                      <m:t>′</m:t>
                    </m:r>
                  </m:sup>
                </m:sSubSup>
              </m:e>
            </m:mr>
            <m:mr>
              <m:e>
                <m:sSubSup>
                  <m:e>
                    <m:r>
                      <m:rPr>
                        <m:nor/>
                        <m:sty m:val="p"/>
                      </m:rPr>
                      <m:t>agreement</m:t>
                    </m:r>
                  </m:e>
                  <m:sub>
                    <m:r>
                      <m:t>S</m:t>
                    </m:r>
                  </m:sub>
                  <m:sup>
                    <m:r>
                      <m:rPr>
                        <m:sty m:val="p"/>
                      </m:rPr>
                      <m:t>′</m:t>
                    </m:r>
                  </m:sup>
                </m:sSubSup>
                <m:r>
                  <m:rPr>
                    <m:sty m:val="p"/>
                  </m:rPr>
                  <m:t>)</m:t>
                </m:r>
              </m:e>
              <m:e>
                <m:r>
                  <m:rPr>
                    <m:sty m:val="p"/>
                  </m:rPr>
                  <m:t>=</m:t>
                </m:r>
                <m:nary>
                  <m:naryPr>
                    <m:chr m:val="∑"/>
                    <m:limLoc m:val="undOvr"/>
                    <m:subHide m:val="off"/>
                    <m:supHide m:val="on"/>
                  </m:naryPr>
                  <m:sub>
                    <m:sSub>
                      <m:e>
                        <m:r>
                          <m:t>s</m:t>
                        </m:r>
                      </m:e>
                      <m:sub>
                        <m:r>
                          <m:t>i</m:t>
                        </m:r>
                      </m:sub>
                    </m:sSub>
                    <m:r>
                      <m:rPr>
                        <m:sty m:val="p"/>
                      </m:rPr>
                      <m:t>∈</m:t>
                    </m:r>
                    <m:sSup>
                      <m:e>
                        <m:r>
                          <m:t>S</m:t>
                        </m:r>
                      </m:e>
                      <m:sup>
                        <m:r>
                          <m:rPr>
                            <m:sty m:val="p"/>
                          </m:rPr>
                          <m:t>′</m:t>
                        </m:r>
                      </m:sup>
                    </m:sSup>
                  </m:sub>
                  <m:sup>
                    <m:r>
                      <m:t>​</m:t>
                    </m:r>
                  </m:sup>
                  <m:e>
                    <m:r>
                      <m:rPr>
                        <m:sty m:val="p"/>
                        <m:scr m:val="double-struck"/>
                      </m:rPr>
                      <m:t>I</m:t>
                    </m:r>
                  </m:e>
                </m:nary>
                <m:d>
                  <m:dPr>
                    <m:begChr m:val="("/>
                    <m:endChr m:val=")"/>
                    <m:sepChr m:val=""/>
                    <m:grow/>
                  </m:dPr>
                  <m:e>
                    <m:r>
                      <m:rPr>
                        <m:nor/>
                        <m:sty m:val="p"/>
                      </m:rPr>
                      <m:t>match</m:t>
                    </m:r>
                    <m:d>
                      <m:dPr>
                        <m:begChr m:val="("/>
                        <m:endChr m:val=")"/>
                        <m:sepChr m:val=""/>
                        <m:grow/>
                      </m:dPr>
                      <m:e>
                        <m:sSubSup>
                          <m:e>
                            <m:r>
                              <m:t>s</m:t>
                            </m:r>
                          </m:e>
                          <m:sub>
                            <m:r>
                              <m:t>i</m:t>
                            </m:r>
                          </m:sub>
                          <m:sup>
                            <m:r>
                              <m:rPr>
                                <m:sty m:val="p"/>
                              </m:rPr>
                              <m:t>′</m:t>
                            </m:r>
                          </m:sup>
                        </m:sSubSup>
                        <m:r>
                          <m:rPr>
                            <m:sty m:val="p"/>
                          </m:rPr>
                          <m:t>,</m:t>
                        </m:r>
                        <m:sSubSup>
                          <m:e>
                            <m:r>
                              <m:t>t</m:t>
                            </m:r>
                          </m:e>
                          <m:sub>
                            <m:r>
                              <m:t>i</m:t>
                            </m:r>
                          </m:sub>
                          <m:sup>
                            <m:r>
                              <m:rPr>
                                <m:sty m:val="p"/>
                              </m:rPr>
                              <m:t>′</m:t>
                            </m:r>
                          </m:sup>
                        </m:sSubSup>
                      </m:e>
                    </m:d>
                    <m:r>
                      <m:rPr>
                        <m:sty m:val="p"/>
                      </m:rPr>
                      <m:t>∉</m:t>
                    </m:r>
                    <m:r>
                      <m:t>U</m:t>
                    </m:r>
                  </m:e>
                </m:d>
              </m:e>
            </m:mr>
          </m:m>
        </m:oMath>
      </m:oMathPara>
    </w:p>
    <w:p>
      <w:pPr>
        <w:pStyle w:val="FirstParagraph"/>
      </w:pPr>
      <w:r>
        <w:t xml:space="preserve">この式では、prime (</w:t>
      </w:r>
      <m:oMath>
        <m:r>
          <m:rPr>
            <m:sty m:val="p"/>
          </m:rPr>
          <m:t>′</m:t>
        </m:r>
      </m:oMath>
      <w:r>
        <w:t xml:space="preserve">) 記号がついているものは整列後のテキストにおけるものを意味する。指示関数</w:t>
      </w:r>
      <w:r>
        <w:t xml:space="preserve"> </w:t>
      </w:r>
      <m:oMath>
        <m:r>
          <m:rPr>
            <m:sty m:val="p"/>
            <m:scr m:val="double-struck"/>
          </m:rPr>
          <m:t>I</m:t>
        </m:r>
      </m:oMath>
      <w:r>
        <w:t xml:space="preserve"> </w:t>
      </w:r>
      <w:r>
        <w:t xml:space="preserve">において、アライメントの 2 語が一致する場合 1 を返し、アライメントの 2 語が一致しない場合 0 を返す。ギャップが入っているアライメントは計算の対象としない。</w:t>
      </w:r>
      <w:r>
        <w:t xml:space="preserve"> </w:t>
      </w:r>
      <w:r>
        <w:t xml:space="preserve">一致率・不一致率・追加率の計算において、分母は整列前のソーステキストのトークン数にする。</w:t>
      </w:r>
    </w:p>
    <w:p>
      <w:pPr>
        <w:pStyle w:val="BodyText"/>
      </w:pPr>
      <w:r>
        <w:t xml:space="preserve">動的計画法は、和歌の翻訳における語順の交換などの site swap に弱く、句の順序、語順が入れ替えられる訳の場合アライメントがうまくできなくなる。さらに、整列法はアライメントの 2 語対が一致するという厳しめの前提が設けてあり、この前提と現実とはかなり異なる可能性が高い。したがって、整列法で計算される追加率は、全体的に統計的に分析せず、ケーススターディの説明においてのみ提示する。</w:t>
      </w:r>
    </w:p>
    <w:bookmarkEnd w:id="53"/>
    <w:bookmarkEnd w:id="54"/>
    <w:bookmarkStart w:id="58" w:name="翻訳の主観的意識と追加率の関係に関する統計モデリング"/>
    <w:p>
      <w:pPr>
        <w:pStyle w:val="Heading2"/>
      </w:pPr>
      <w:r>
        <w:t xml:space="preserve">2.3 翻訳の主観的意識と追加率の関係に関する統計モデリング</w:t>
      </w:r>
    </w:p>
    <w:p>
      <w:pPr>
        <w:pStyle w:val="FirstParagraph"/>
      </w:pPr>
      <w:r>
        <w:t xml:space="preserve">先行研究</w:t>
      </w:r>
      <w:r>
        <w:t xml:space="preserve"> </w:t>
      </w:r>
      <w:r>
        <w:t xml:space="preserve">(Yamamoto 2005; Yamamoto and Hodošček 2019)</w:t>
      </w:r>
      <w:r>
        <w:t xml:space="preserve"> </w:t>
      </w:r>
      <w:r>
        <w:t xml:space="preserve">ではグループ・フィールド・同義レベルの一致率（言い換え率）、理論的・実験的追加率などの多くの指標を計算しているが、翻訳者別の追加率の平均と標準偏差しか提示していない。データの更新や、計算手順もすこし異なったので、結果の変化ga生じる。そこで、新たに計算した追加率を対象に統計分析を行う。</w:t>
      </w:r>
    </w:p>
    <w:p>
      <w:pPr>
        <w:pStyle w:val="BodyText"/>
      </w:pPr>
      <w:r>
        <w:t xml:space="preserve">訳者の翻訳アプローチが実践に移り、実際の現代語訳における追加率に影響を与えているかを確認するために、統計モデリングを行う。具体的には、翻訳アプローチ（</w:t>
      </w:r>
      <w:r>
        <w:rPr>
          <w:rStyle w:val="VerbatimChar"/>
        </w:rPr>
        <w:t xml:space="preserve">Focus</w:t>
      </w:r>
      <w:r>
        <w:t xml:space="preserve">）が追加率（</w:t>
      </w:r>
      <w:r>
        <w:rPr>
          <w:rStyle w:val="VerbatimChar"/>
        </w:rPr>
        <w:t xml:space="preserve">additional_rate</w:t>
      </w:r>
      <w:r>
        <w:t xml:space="preserve">）</w:t>
      </w:r>
      <w:r>
        <w:rPr>
          <w:rStyle w:val="FootnoteReference"/>
        </w:rPr>
        <w:footnoteReference w:id="55"/>
      </w:r>
      <w:r>
        <w:t xml:space="preserve"> </w:t>
      </w:r>
      <w:r>
        <w:t xml:space="preserve">に与える影響を検討するために、ベータ分布</w:t>
      </w:r>
      <w:r>
        <w:rPr>
          <w:rStyle w:val="FootnoteReference"/>
        </w:rPr>
        <w:footnoteReference w:id="56"/>
      </w:r>
      <w:r>
        <w:t xml:space="preserve"> </w:t>
      </w:r>
      <w:r>
        <w:t xml:space="preserve">に基づく回帰モデルを採用する。このモデルは、訳者（</w:t>
      </w:r>
      <w:r>
        <w:rPr>
          <w:rStyle w:val="VerbatimChar"/>
        </w:rPr>
        <w:t xml:space="preserve">translator</w:t>
      </w:r>
      <w:r>
        <w:t xml:space="preserve">）と歌（</w:t>
      </w:r>
      <w:r>
        <w:rPr>
          <w:rStyle w:val="VerbatimChar"/>
        </w:rPr>
        <w:t xml:space="preserve">poem</w:t>
      </w:r>
      <w:r>
        <w:t xml:space="preserve">）を変動を統制するためにランダム効果としてモデルに入れている。統計モデルは補足資料を参照されたい。</w:t>
      </w:r>
    </w:p>
    <w:p>
      <w:pPr>
        <w:pStyle w:val="BodyText"/>
      </w:pPr>
      <w:r>
        <w:t xml:space="preserve">モデルの推定は、Markov Chain Monte Carlo (MCMC) 法を用いる。具体的には、4 つのチェーンを使用し、各チェーンで 2000 回のイテレーションを行い、そのうち 1000 回をウォームアップ (burn-in) として設定する。</w:t>
      </w:r>
      <w:r>
        <w:rPr>
          <w:rStyle w:val="VerbatimChar"/>
        </w:rPr>
        <w:t xml:space="preserve">R</w:t>
      </w:r>
      <w:r>
        <w:t xml:space="preserve"> </w:t>
      </w:r>
      <w:r>
        <w:t xml:space="preserve">(R version 4.3.3 (2024-02-29))</w:t>
      </w:r>
      <w:r>
        <w:t xml:space="preserve"> </w:t>
      </w:r>
      <w:r>
        <w:t xml:space="preserve">(R Core Team 2024)</w:t>
      </w:r>
      <w:r>
        <w:t xml:space="preserve"> </w:t>
      </w:r>
      <w:r>
        <w:t xml:space="preserve">パッケージ</w:t>
      </w:r>
      <w:r>
        <w:t xml:space="preserve"> </w:t>
      </w:r>
      <w:r>
        <w:rPr>
          <w:rStyle w:val="VerbatimChar"/>
        </w:rPr>
        <w:t xml:space="preserve">brms</w:t>
      </w:r>
      <w:r>
        <w:t xml:space="preserve"> </w:t>
      </w:r>
      <w:r>
        <w:t xml:space="preserve">(2.21.0)</w:t>
      </w:r>
      <w:r>
        <w:t xml:space="preserve"> </w:t>
      </w:r>
      <w:r>
        <w:t xml:space="preserve">(Bürkner 2017)</w:t>
      </w:r>
      <w:r>
        <w:t xml:space="preserve"> </w:t>
      </w:r>
      <w:r>
        <w:t xml:space="preserve">を用いてモデルを実装し、事後分布の収束の評価は $</w:t>
      </w:r>
      <w:r>
        <w:t xml:space="preserve"> </w:t>
      </w:r>
      <w:r>
        <w:t xml:space="preserve"> </w:t>
      </w:r>
      <w:r>
        <w:t xml:space="preserve">$ 指標および有効サンプルサイズ (ESS) を確認する。モデルの推定結果として、モデルから各アプローチの追加率をサンプリングし、事後分布の中央値と 95% の信用区間 (CrI)</w:t>
      </w:r>
      <w:r>
        <w:t xml:space="preserve"> </w:t>
      </w:r>
      <w:r>
        <w:rPr>
          <w:rStyle w:val="FootnoteReference"/>
        </w:rPr>
        <w:footnoteReference w:id="57"/>
      </w:r>
      <w:r>
        <w:t xml:space="preserve">を報告する。2 アプローチ間の追加率の差の事後分布も示す。</w:t>
      </w:r>
    </w:p>
    <w:p>
      <w:pPr>
        <w:pStyle w:val="BodyText"/>
      </w:pPr>
      <w:r>
        <w:t xml:space="preserve">可視化と解釈について、</w:t>
      </w:r>
      <w:r>
        <w:t xml:space="preserve">Yu and Tamaoka (2020)</w:t>
      </w:r>
      <w:r>
        <w:t xml:space="preserve"> </w:t>
      </w:r>
      <w:r>
        <w:t xml:space="preserve">を参考に、比較 2 群の差の事後分布の 95% の CrI が 0 をカバーしているかを観測するほか、2 群の差が 0 より大きい確率を同時に観測する：まず、95% の CrI が 0 をカバーしていない場合、2 群に差があると判断する；95% の CrI が 0 をカバーしていても、2 群の差が 0 より大きい確率が 95% より大きい、または 5% より小さい場合、傾向差があると認める。</w:t>
      </w:r>
    </w:p>
    <w:bookmarkEnd w:id="58"/>
    <w:bookmarkStart w:id="61" w:name="立田歌の事例分析"/>
    <w:p>
      <w:pPr>
        <w:pStyle w:val="Heading2"/>
      </w:pPr>
      <w:r>
        <w:t xml:space="preserve">2.4 「立田」歌の事例分析</w:t>
      </w:r>
    </w:p>
    <w:p>
      <w:pPr>
        <w:pStyle w:val="FirstParagraph"/>
      </w:pPr>
      <w:r>
        <w:t xml:space="preserve">和歌に対する現代語訳は、なんらかの言い換えと追加あったことが分っても、その追加要素や言い換えの要素の性格がわかっているわけではない。これら要素の性格は、アライメントにおける一致を確認しながら、コーパス言語学の視座から分析を試みる。本稿では</w:t>
      </w:r>
      <w:r>
        <w:t xml:space="preserve"> </w:t>
      </w:r>
      <w:r>
        <w:t xml:space="preserve">Sinclair (1996)</w:t>
      </w:r>
      <w:r>
        <w:t xml:space="preserve"> </w:t>
      </w:r>
      <w:r>
        <w:t xml:space="preserve">の拡張意味単位モデルの視座から示唆を得て、和歌の原文のコーパスレベルに観測されている傾向性が、センテンスレベルの対訳文でどのように処理されているかを明確にする。</w:t>
      </w:r>
    </w:p>
    <w:p>
      <w:pPr>
        <w:pStyle w:val="BodyText"/>
      </w:pPr>
      <w:r>
        <w:t xml:space="preserve">拡張意味単位モデルは以下の 4 つのレベルから対象言語単位の記述を行っている。</w:t>
      </w:r>
    </w:p>
    <w:p>
      <w:pPr>
        <w:pStyle w:val="Compact"/>
        <w:numPr>
          <w:ilvl w:val="0"/>
          <w:numId w:val="1010"/>
        </w:numPr>
      </w:pPr>
      <w:r>
        <w:t xml:space="preserve">コロケーション（collocation）：他の語の共出現関係</w:t>
      </w:r>
      <w:r>
        <w:t xml:space="preserve"> </w:t>
      </w:r>
      <w:r>
        <w:t xml:space="preserve">(Sinclair, Jones, and Daley 1970, 15)</w:t>
      </w:r>
    </w:p>
    <w:p>
      <w:pPr>
        <w:pStyle w:val="Compact"/>
        <w:numPr>
          <w:ilvl w:val="0"/>
          <w:numId w:val="1010"/>
        </w:numPr>
      </w:pPr>
      <w:r>
        <w:t xml:space="preserve">類連結（colligation）：構文パターンや文法的要素との共出現関係</w:t>
      </w:r>
      <w:r>
        <w:t xml:space="preserve"> </w:t>
      </w:r>
      <w:r>
        <w:t xml:space="preserve">(cf., Firth 1968, 183; Sinclair 1996, 11; 2003, 171)</w:t>
      </w:r>
    </w:p>
    <w:p>
      <w:pPr>
        <w:pStyle w:val="Compact"/>
        <w:numPr>
          <w:ilvl w:val="0"/>
          <w:numId w:val="1010"/>
        </w:numPr>
      </w:pPr>
      <w:r>
        <w:t xml:space="preserve">意味的志向（semantic preference）：特定の意味の語群（semantic set）との共出現関係</w:t>
      </w:r>
      <w:r>
        <w:t xml:space="preserve"> </w:t>
      </w:r>
      <w:r>
        <w:t xml:space="preserve">(Sinclair 2003, 178)</w:t>
      </w:r>
    </w:p>
    <w:p>
      <w:pPr>
        <w:pStyle w:val="Compact"/>
        <w:numPr>
          <w:ilvl w:val="0"/>
          <w:numId w:val="1010"/>
        </w:numPr>
      </w:pPr>
      <w:r>
        <w:t xml:space="preserve">談話韻律（discourse prosody）：拡張意味単位全体の評価・態度・語用論的意味</w:t>
      </w:r>
      <w:r>
        <w:t xml:space="preserve"> </w:t>
      </w:r>
      <w:r>
        <w:t xml:space="preserve">(Sinclair 2004, 174)</w:t>
      </w:r>
    </w:p>
    <w:p>
      <w:pPr>
        <w:pStyle w:val="FirstParagraph"/>
      </w:pPr>
      <w:r>
        <w:t xml:space="preserve">コロケーションから談話韻律へと、直接な観測ができなくなり、明示的でなくなっていく</w:t>
      </w:r>
      <w:r>
        <w:t xml:space="preserve"> </w:t>
      </w:r>
      <w:r>
        <w:t xml:space="preserve">(Stubbs 2001, 87–88)</w:t>
      </w:r>
      <w:r>
        <w:t xml:space="preserve">。</w:t>
      </w:r>
    </w:p>
    <w:p>
      <w:pPr>
        <w:pStyle w:val="BodyText"/>
      </w:pPr>
      <w:r>
        <w:t xml:space="preserve">和歌の性質とデータの量の少なさからして、確実に拡張意味単位を捉えることが難しいことがある。よって、本稿では単純に拡張意味単位の 4 つのレベルを 4 つの視座とみて、この 4 つの視座のうち、共出現の語、共出現の構文パターン、共出現の語の意味的まとまりで考えられる志向性から、10 人の翻訳でどのように処理されているかを分析する。</w:t>
      </w:r>
    </w:p>
    <w:p>
      <w:pPr>
        <w:pStyle w:val="BodyText"/>
      </w:pPr>
      <w:r>
        <w:t xml:space="preserve">Yamamoto (2005)</w:t>
      </w:r>
      <w:r>
        <w:t xml:space="preserve"> </w:t>
      </w:r>
      <w:r>
        <w:t xml:space="preserve">では、現代語訳の紹介に歌枕「立田」の歌 298 番をとりあげている。本稿でも同じ歌をとりあげ、それが 10 人の翻訳、異なる翻訳の方針でどのように処理されているか、前掲の 3 つの視座から分析する。</w:t>
      </w:r>
    </w:p>
    <w:p>
      <w:pPr>
        <w:pStyle w:val="BodyText"/>
      </w:pPr>
      <w:r>
        <w:t xml:space="preserve">コロケーションのレベルで確認すると、八代集全体における 54 首において、</w:t>
      </w:r>
      <w:r>
        <w:t xml:space="preserve"> </w:t>
      </w:r>
      <w:r>
        <w:t xml:space="preserve">「立田」の文脈に頻出する内容語</w:t>
      </w:r>
      <w:r>
        <w:t xml:space="preserve"> </w:t>
      </w:r>
      <w:r>
        <w:rPr>
          <w:rStyle w:val="FootnoteReference"/>
        </w:rPr>
        <w:footnoteReference w:id="59"/>
      </w:r>
      <w:r>
        <w:t xml:space="preserve">には「山」（30；うち共出現語として 15 あり、「立田山」の複合表現として 15 ある）「紅葉づ」（17）「川」（「立田川」の複合表現として 15 ある）「秋」（15）「見る」（12）「紅葉葉」（9）「錦」（9） があげられる。</w:t>
      </w:r>
      <w:r>
        <w:t xml:space="preserve"> </w:t>
      </w:r>
      <w:r>
        <w:t xml:space="preserve">頻度5以上の語には、「神無備」（5）「姫」（うち「立田姫」の複合表現として 8 ある） など神に関連する語と、「散る」（8）「流る」（5）「吹く」（6）「紅葉」（5）「黄葉」（5） など、落葉に関連する語が存在している。</w:t>
      </w:r>
      <w:r>
        <w:rPr>
          <w:rStyle w:val="FootnoteReference"/>
        </w:rPr>
        <w:footnoteReference w:id="60"/>
      </w:r>
    </w:p>
    <w:p>
      <w:pPr>
        <w:pStyle w:val="BodyText"/>
      </w:pPr>
      <w:r>
        <w:t xml:space="preserve">共出現する構文パターンとして、動詞の終止形で終わる歌の少なさ（古今集 12 首の中で 1 首のみ）が観測される。また、古今集の中では、係り結びは 9 首観測されており、</w:t>
      </w:r>
      <w:r>
        <w:t xml:space="preserve"> </w:t>
      </w:r>
      <w:r>
        <w:t xml:space="preserve">余韻の残し方に特徴があると考えられる。これら終わり方の構文パターンが、翻訳における処理について考察する。</w:t>
      </w:r>
    </w:p>
    <w:p>
      <w:pPr>
        <w:pStyle w:val="BodyText"/>
      </w:pPr>
      <w:r>
        <w:t xml:space="preserve">共出現する語の性質は、内容語のコロケーションは基本的に、「立田川」「立田（の）山」など地名を構成する「山」「川」のグループのほか、秋の「神」に関連する関連語のグループが明瞭に見える。神聖なる場所の歌枕の性質が伺える。</w:t>
      </w:r>
    </w:p>
    <w:p>
      <w:pPr>
        <w:pStyle w:val="BodyText"/>
      </w:pPr>
      <w:r>
        <w:t xml:space="preserve">298 番歌の訳における追加要素のバリエーションを示しながら、以上のコーパスレベル・大局レベルの要素が 298 番歌のセンテンスレベルで組み込まれるか、どのように組み込まれているかを確認し、ノンリテラル要素と捉えられるかを論じる。</w:t>
      </w:r>
    </w:p>
    <w:bookmarkEnd w:id="61"/>
    <w:bookmarkEnd w:id="62"/>
    <w:bookmarkStart w:id="136" w:name="sec-results"/>
    <w:p>
      <w:pPr>
        <w:pStyle w:val="Heading1"/>
      </w:pPr>
      <w:r>
        <w:t xml:space="preserve">3. 結果</w:t>
      </w:r>
    </w:p>
    <w:bookmarkStart w:id="70" w:name="現代語訳の整理と分類"/>
    <w:p>
      <w:pPr>
        <w:pStyle w:val="Heading2"/>
      </w:pPr>
      <w:r>
        <w:t xml:space="preserve">3.1 現代語訳の整理と分類</w:t>
      </w:r>
    </w:p>
    <w:p>
      <w:pPr>
        <w:pStyle w:val="FirstParagraph"/>
      </w:pPr>
      <w:r>
        <w:t xml:space="preserve">注釈書の前書き、導入部に記されている翻訳アプローチに関する意識と認識に基づき、10 人の翻訳アプローチをコミュニケーションの主体への視座の置き方によって 3 類に分類した：</w:t>
      </w:r>
    </w:p>
    <w:p>
      <w:pPr>
        <w:pStyle w:val="Compact"/>
        <w:numPr>
          <w:ilvl w:val="0"/>
          <w:numId w:val="1011"/>
        </w:numPr>
      </w:pPr>
      <w:r>
        <w:t xml:space="preserve">テキストの字義を重視する方針：</w:t>
      </w:r>
      <w:r>
        <w:t xml:space="preserve"> </w:t>
      </w:r>
      <w:r>
        <w:t xml:space="preserve">金子 (1933)</w:t>
      </w:r>
      <w:r>
        <w:t xml:space="preserve">;</w:t>
      </w:r>
      <w:r>
        <w:t xml:space="preserve"> </w:t>
      </w:r>
      <w:r>
        <w:t xml:space="preserve">窪田 (1960)</w:t>
      </w:r>
      <w:r>
        <w:t xml:space="preserve">;</w:t>
      </w:r>
      <w:r>
        <w:t xml:space="preserve"> </w:t>
      </w:r>
      <w:r>
        <w:t xml:space="preserve">片桐 (1998)</w:t>
      </w:r>
    </w:p>
    <w:p>
      <w:pPr>
        <w:pStyle w:val="Compact"/>
        <w:numPr>
          <w:ilvl w:val="0"/>
          <w:numId w:val="1011"/>
        </w:numPr>
      </w:pPr>
      <w:r>
        <w:t xml:space="preserve">作者の意図を重視する方針：</w:t>
      </w:r>
      <w:r>
        <w:t xml:space="preserve"> </w:t>
      </w:r>
      <w:r>
        <w:t xml:space="preserve">奥村 (1978)</w:t>
      </w:r>
      <w:r>
        <w:t xml:space="preserve">;</w:t>
      </w:r>
      <w:r>
        <w:t xml:space="preserve"> </w:t>
      </w:r>
      <w:r>
        <w:t xml:space="preserve">竹岡 (1976)</w:t>
      </w:r>
    </w:p>
    <w:p>
      <w:pPr>
        <w:pStyle w:val="Compact"/>
        <w:numPr>
          <w:ilvl w:val="0"/>
          <w:numId w:val="1011"/>
        </w:numPr>
      </w:pPr>
      <w:r>
        <w:t xml:space="preserve">読者の理解を重視する方針：</w:t>
      </w:r>
      <w:r>
        <w:t xml:space="preserve"> </w:t>
      </w:r>
      <w:r>
        <w:t xml:space="preserve">小沢 (1971)</w:t>
      </w:r>
      <w:r>
        <w:t xml:space="preserve">;</w:t>
      </w:r>
      <w:r>
        <w:t xml:space="preserve"> </w:t>
      </w:r>
      <w:r>
        <w:t xml:space="preserve">久曽神 (1979)</w:t>
      </w:r>
    </w:p>
    <w:p>
      <w:pPr>
        <w:pStyle w:val="FirstParagraph"/>
      </w:pPr>
      <w:r>
        <w:t xml:space="preserve">うち、明確に翻訳アプローチについて記されなかったのは</w:t>
      </w:r>
      <w:r>
        <w:t xml:space="preserve"> </w:t>
      </w:r>
      <w:r>
        <w:t xml:space="preserve">松田 (1968)</w:t>
      </w:r>
      <w:r>
        <w:t xml:space="preserve">;</w:t>
      </w:r>
      <w:r>
        <w:t xml:space="preserve"> </w:t>
      </w:r>
      <w:r>
        <w:t xml:space="preserve">小島 and 新井 (1989)</w:t>
      </w:r>
      <w:r>
        <w:t xml:space="preserve">;</w:t>
      </w:r>
      <w:r>
        <w:t xml:space="preserve"> </w:t>
      </w:r>
      <w:r>
        <w:t xml:space="preserve">小町谷 (1982)</w:t>
      </w:r>
      <w:r>
        <w:t xml:space="preserve"> </w:t>
      </w:r>
      <w:r>
        <w:t xml:space="preserve">である。</w:t>
      </w:r>
    </w:p>
    <w:p>
      <w:pPr>
        <w:pStyle w:val="BodyText"/>
      </w:pPr>
      <w:r>
        <w:t xml:space="preserve">この中で、原文の字義を重視する翻訳アプローチは、もっとも逐語訳に拘っている。作者の意図・感受を重視する・読者の理解を重視する翻訳アプローチでは、多少の語と語順の入れ替え、語句の補いを許容しているように述べている。</w:t>
      </w:r>
    </w:p>
    <w:bookmarkStart w:id="64" w:name="text-focused-approach-knk-kbt-ktgr"/>
    <w:p>
      <w:pPr>
        <w:pStyle w:val="Heading3"/>
      </w:pPr>
      <w:r>
        <w:t xml:space="preserve">Text-focused approach: KNK, KBT, KTGR</w:t>
      </w:r>
    </w:p>
    <w:p>
      <w:pPr>
        <w:pStyle w:val="FirstParagraph"/>
      </w:pPr>
      <w:r>
        <w:t xml:space="preserve">原文テキストの字義通りの解釈を重視する訳のグループは、原文に忠実に翻訳することに重みを置き、できるだけ語順や意味を変えずに翻訳を行う：</w:t>
      </w:r>
      <w:r>
        <w:t xml:space="preserve">金子 (1933)</w:t>
      </w:r>
      <w:r>
        <w:t xml:space="preserve"> </w:t>
      </w:r>
      <w:r>
        <w:t xml:space="preserve">は「逐語訳」に徹し、語を加えたり、削除することを避けており、慎重に翻訳していると述べている；</w:t>
      </w:r>
      <w:r>
        <w:t xml:space="preserve"> </w:t>
      </w:r>
      <w:r>
        <w:t xml:space="preserve">金子 (1933)</w:t>
      </w:r>
      <w:r>
        <w:t xml:space="preserve"> </w:t>
      </w:r>
      <w:r>
        <w:t xml:space="preserve">は歌の意をそこねたり、調をあやまったりすることを恐れて、鏡花水月の訳法</w:t>
      </w:r>
      <w:r>
        <w:rPr>
          <w:rStyle w:val="FootnoteReference"/>
        </w:rPr>
        <w:footnoteReference w:id="63"/>
      </w:r>
      <w:r>
        <w:t xml:space="preserve"> </w:t>
      </w:r>
      <w:r>
        <w:t xml:space="preserve">に従い、きわめて小心に、一字一語の出入をもゆるがせにせぬことを期したことを述べている。また、文体的には、金子の翻訳調は例えば「くずをれる」のような古めかしいことばをわざと翻訳に入れるところなど、本居宣長の「遠鏡」に似ている。</w:t>
      </w:r>
      <w:r>
        <w:t xml:space="preserve"> </w:t>
      </w:r>
      <w:r>
        <w:t xml:space="preserve">窪田 (1960)</w:t>
      </w:r>
      <w:r>
        <w:t xml:space="preserve"> </w:t>
      </w:r>
      <w:r>
        <w:t xml:space="preserve">は、現代語訳の方針について、逐語訳にこだわり、語順を変えたり、新しい語を加えることを避けていると述べている。</w:t>
      </w:r>
      <w:r>
        <w:t xml:space="preserve">片桐 (1998)</w:t>
      </w:r>
      <w:r>
        <w:t xml:space="preserve"> </w:t>
      </w:r>
      <w:r>
        <w:t xml:space="preserve">も同様に、逐語訳を行い、和歌の省略や長大な増補を避け、可能な限り忠実に現代語訳しているとしている。</w:t>
      </w:r>
    </w:p>
    <w:bookmarkEnd w:id="64"/>
    <w:bookmarkStart w:id="66" w:name="poet-focused-approach-okmr-tkok"/>
    <w:p>
      <w:pPr>
        <w:pStyle w:val="Heading3"/>
      </w:pPr>
      <w:r>
        <w:t xml:space="preserve">Poet-focused approach: OKMR, TKOK</w:t>
      </w:r>
    </w:p>
    <w:p>
      <w:pPr>
        <w:pStyle w:val="FirstParagraph"/>
      </w:pPr>
      <w:r>
        <w:t xml:space="preserve">歌人の作意を重視する訳のグループでは、表面的な意味よりも、原文の意図と感受性を重視する群である。</w:t>
      </w:r>
      <w:r>
        <w:t xml:space="preserve"> </w:t>
      </w:r>
      <w:r>
        <w:t xml:space="preserve">奥村 (1978, 7)</w:t>
      </w:r>
      <w:r>
        <w:t xml:space="preserve"> </w:t>
      </w:r>
      <w:r>
        <w:t xml:space="preserve">は「口語訳は、原歌の言葉づかいや言い廻しを尊重し、一首の意味を厳密に解釈するより、基本的な作意をまず感じとってもらうことに重点をおいた」としている。原文の意図の理解を重視し、逐語訳よりも作意を優先して翻訳している。</w:t>
      </w:r>
      <w:r>
        <w:t xml:space="preserve">竹岡 (1976, 上下:21)</w:t>
      </w:r>
      <w:r>
        <w:t xml:space="preserve"> </w:t>
      </w:r>
      <w:r>
        <w:t xml:space="preserve">は、訳(口語訳)は原文の「筋」の紹介や解説の類ではなく，作者の認識のしかた・感じ方をあらゆる面より明らかにしたのち、それ現代語に存在する同じあるいは極力それに近似した認識のしかた、感じ方の表現にそっくりうつしかえることをいう。つまり、表面では、原歌の同義語に拘るものの、原歌における歌人の感受性の保持に重点を置いてる。具体的な現代語訳の方針としては、</w:t>
      </w:r>
      <w:r>
        <w:t xml:space="preserve">竹岡 (1976, 上下:11–12)</w:t>
      </w:r>
      <w:r>
        <w:t xml:space="preserve"> </w:t>
      </w:r>
      <w:r>
        <w:t xml:space="preserve">は、次のような独自の理論を提案している。</w:t>
      </w:r>
    </w:p>
    <w:p>
      <w:pPr>
        <w:pStyle w:val="BodyText"/>
      </w:pPr>
      <m:oMathPara>
        <m:oMathParaPr>
          <m:jc m:val="center"/>
        </m:oMathParaPr>
        <m:oMath>
          <m:r>
            <m:t>S</m:t>
          </m:r>
          <m:r>
            <m:rPr>
              <m:sty m:val="p"/>
            </m:rPr>
            <m:t>=</m:t>
          </m:r>
          <m:d>
            <m:dPr>
              <m:begChr m:val="["/>
              <m:endChr m:val="]"/>
              <m:sepChr m:val=""/>
              <m:grow/>
            </m:dPr>
            <m:e>
              <m:d>
                <m:dPr>
                  <m:begChr m:val="("/>
                  <m:endChr m:val=")"/>
                  <m:sepChr m:val=""/>
                  <m:grow/>
                </m:dPr>
                <m:e>
                  <m:r>
                    <m:t>a</m:t>
                  </m:r>
                  <m:r>
                    <m:rPr>
                      <m:sty m:val="p"/>
                    </m:rPr>
                    <m:t>+</m:t>
                  </m:r>
                  <m:r>
                    <m:t>b</m:t>
                  </m:r>
                  <m:r>
                    <m:rPr>
                      <m:sty m:val="p"/>
                    </m:rPr>
                    <m:t>+</m:t>
                  </m:r>
                  <m:r>
                    <m:t>c</m:t>
                  </m:r>
                  <m:r>
                    <m:rPr>
                      <m:sty m:val="p"/>
                    </m:rPr>
                    <m:t>+</m:t>
                  </m:r>
                  <m:r>
                    <m:rPr>
                      <m:sty m:val="p"/>
                    </m:rPr>
                    <m:t>…</m:t>
                  </m:r>
                  <m:r>
                    <m:rPr>
                      <m:sty m:val="p"/>
                    </m:rPr>
                    <m:t>+</m:t>
                  </m:r>
                  <m:r>
                    <m:t>n</m:t>
                  </m:r>
                </m:e>
              </m:d>
              <m:r>
                <m:rPr>
                  <m:sty m:val="p"/>
                </m:rPr>
                <m:t>×</m:t>
              </m:r>
              <m:r>
                <m:t>X</m:t>
              </m:r>
            </m:e>
          </m:d>
          <m:r>
            <m:rPr>
              <m:sty m:val="p"/>
            </m:rPr>
            <m:t>×</m:t>
          </m:r>
          <m:r>
            <m:t>Y</m:t>
          </m:r>
        </m:oMath>
      </m:oMathPara>
    </w:p>
    <w:p>
      <w:pPr>
        <w:pStyle w:val="FirstParagraph"/>
      </w:pPr>
      <m:oMath>
        <m:r>
          <m:t>S</m:t>
        </m:r>
      </m:oMath>
      <w:r>
        <w:t xml:space="preserve"> </w:t>
      </w:r>
      <w:r>
        <w:t xml:space="preserve">は翻訳された歌であり、</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のそれぞれは歌における語、</w:t>
      </w:r>
      <m:oMath>
        <m:r>
          <m:t>X</m:t>
        </m:r>
      </m:oMath>
      <w:r>
        <w:t xml:space="preserve"> </w:t>
      </w:r>
      <w:r>
        <w:t xml:space="preserve">は訳に含まれる要素であり、</w:t>
      </w:r>
      <m:oMath>
        <m:r>
          <m:t>Y</m:t>
        </m:r>
      </m:oMath>
      <w:r>
        <w:t xml:space="preserve"> </w:t>
      </w:r>
      <w:r>
        <w:t xml:space="preserve">は訳に効果的に加えられた要素である。</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それぞれの一般的普遍的意義は辞書で理解でき、それぞれの</w:t>
      </w:r>
      <w:r>
        <w:t xml:space="preserve"> </w:t>
      </w:r>
      <m:oMath>
        <m:r>
          <m:rPr>
            <m:sty m:val="p"/>
          </m:rPr>
          <m:t>+</m:t>
        </m:r>
      </m:oMath>
      <w:r>
        <w:t xml:space="preserve"> </w:t>
      </w:r>
      <w:r>
        <w:t xml:space="preserve">のしかたに相当するものは文法書を参照すれば了解できる」としている。</w:t>
      </w:r>
      <w:r>
        <w:t xml:space="preserve">竹岡 (1976, 上下:11)</w:t>
      </w:r>
      <w:r>
        <w:t xml:space="preserve"> </w:t>
      </w:r>
      <w:r>
        <w:t xml:space="preserve">は</w:t>
      </w:r>
      <w:r>
        <w:t xml:space="preserve"> </w:t>
      </w:r>
      <m:oMath>
        <m:r>
          <m:t>Y</m:t>
        </m:r>
      </m:oMath>
      <w:r>
        <w:t xml:space="preserve"> </w:t>
      </w:r>
      <w:r>
        <w:t xml:space="preserve">はふつうは 0 の値であるが、和歌にはいくつか効果的な要素が含まれる時、翻訳者は</w:t>
      </w:r>
      <w:r>
        <w:t xml:space="preserve"> </w:t>
      </w:r>
      <m:oMath>
        <m:r>
          <m:t>Y</m:t>
        </m:r>
      </m:oMath>
      <w:r>
        <w:t xml:space="preserve"> </w:t>
      </w:r>
      <w:r>
        <w:t xml:space="preserve">に何らかの値、例えば終助詞（わ、ね、よ）のようなものを付け加わえる。したがって、現代語訳作成のための重要な変数は</w:t>
      </w:r>
      <w:r>
        <w:t xml:space="preserve"> </w:t>
      </w:r>
      <m:oMath>
        <m:r>
          <m:t>X</m:t>
        </m:r>
      </m:oMath>
      <w:r>
        <w:t xml:space="preserve"> </w:t>
      </w:r>
      <w:r>
        <w:t xml:space="preserve">となる。その</w:t>
      </w:r>
      <w:r>
        <w:t xml:space="preserve"> </w:t>
      </w:r>
      <m:oMath>
        <m:r>
          <m:t>X</m:t>
        </m:r>
      </m:oMath>
      <w:r>
        <w:t xml:space="preserve"> </w:t>
      </w:r>
      <w:r>
        <w:t xml:space="preserve">は、語句の分割、対応する適切な現代語、語順、助詞・接続詞を含めた訳語、文の構造、話の流れ（談話）、場面の７つに分類されるとしている。このように、歌の筋より作者の意図を細部まで還元することを強調していると捉えられる。</w:t>
      </w:r>
      <w:r>
        <w:rPr>
          <w:rStyle w:val="FootnoteReference"/>
        </w:rPr>
        <w:footnoteReference w:id="65"/>
      </w:r>
    </w:p>
    <w:bookmarkEnd w:id="66"/>
    <w:bookmarkStart w:id="67" w:name="reader-focused-approach-ozw-ksj"/>
    <w:p>
      <w:pPr>
        <w:pStyle w:val="Heading3"/>
      </w:pPr>
      <w:r>
        <w:t xml:space="preserve">Reader-focused approach: OZW, KSJ</w:t>
      </w:r>
    </w:p>
    <w:p>
      <w:pPr>
        <w:pStyle w:val="FirstParagraph"/>
      </w:pPr>
      <w:r>
        <w:t xml:space="preserve">読者の理解を重視する訳のグループは、原文に忠実であることよりも、読者の内容の理解や解釈を読者に伝えることを重視している。そのため、語順を変えたり、新しい語を加えることもある。</w:t>
      </w:r>
      <w:r>
        <w:t xml:space="preserve"> </w:t>
      </w:r>
      <w:r>
        <w:t xml:space="preserve">小沢 (1971)</w:t>
      </w:r>
      <w:r>
        <w:t xml:space="preserve"> </w:t>
      </w:r>
      <w:r>
        <w:t xml:space="preserve">は原作の語順・語法を変更することをいとわず、読者が理解しやすいように内容を優先した翻訳を行っている。</w:t>
      </w:r>
      <w:r>
        <w:t xml:space="preserve"> </w:t>
      </w:r>
      <w:r>
        <w:t xml:space="preserve">小沢 (1971, 46)</w:t>
      </w:r>
      <w:r>
        <w:t xml:space="preserve"> </w:t>
      </w:r>
      <w:r>
        <w:t xml:space="preserve">は「口語訳はそれだけ独立しても意味がよくわかるように努めたので、時には原作の語順・語法を変えている」と述べており、逐語訳よりも内容の理解の方に力点が置かれている。</w:t>
      </w:r>
      <w:r>
        <w:t xml:space="preserve">久曽神 (1979)</w:t>
      </w:r>
      <w:r>
        <w:t xml:space="preserve"> </w:t>
      </w:r>
      <w:r>
        <w:t xml:space="preserve">は、平易な口語訳を採用し、必要に応じて語句を補っており、解釈を重視した翻訳を行っている。現代語訳の方針としては「歌意は、歌句に基づく平易な口語訳としたが、必要と思われる場合は字句を補った」と述べている</w:t>
      </w:r>
      <w:r>
        <w:t xml:space="preserve"> </w:t>
      </w:r>
      <w:r>
        <w:t xml:space="preserve">(久曽神 1979, 1–5:6)</w:t>
      </w:r>
      <w:r>
        <w:t xml:space="preserve">。</w:t>
      </w:r>
    </w:p>
    <w:bookmarkEnd w:id="67"/>
    <w:bookmarkStart w:id="68" w:name="その他のアプローチ-kmcy-mtd-ka"/>
    <w:p>
      <w:pPr>
        <w:pStyle w:val="Heading3"/>
      </w:pPr>
      <w:r>
        <w:t xml:space="preserve">その他のアプローチ: KMCY, MTD, K&amp;A</w:t>
      </w:r>
    </w:p>
    <w:p>
      <w:pPr>
        <w:pStyle w:val="FirstParagraph"/>
      </w:pPr>
      <w:r>
        <w:t xml:space="preserve">現代語訳の方針について、</w:t>
      </w:r>
      <w:r>
        <w:t xml:space="preserve"> </w:t>
      </w:r>
      <w:r>
        <w:t xml:space="preserve">小町谷 (1982)</w:t>
      </w:r>
      <w:r>
        <w:t xml:space="preserve">,</w:t>
      </w:r>
      <w:r>
        <w:t xml:space="preserve"> </w:t>
      </w:r>
      <w:r>
        <w:t xml:space="preserve">松田 (1968)</w:t>
      </w:r>
      <w:r>
        <w:t xml:space="preserve">,</w:t>
      </w:r>
      <w:r>
        <w:t xml:space="preserve"> </w:t>
      </w:r>
      <w:r>
        <w:t xml:space="preserve">小島 and 新井 (1989)</w:t>
      </w:r>
      <w:r>
        <w:t xml:space="preserve"> </w:t>
      </w:r>
      <w:r>
        <w:t xml:space="preserve">は明確に述べていない。</w:t>
      </w:r>
    </w:p>
    <w:p>
      <w:pPr>
        <w:pStyle w:val="BodyText"/>
      </w:pPr>
      <w:r>
        <w:t xml:space="preserve">うち、</w:t>
      </w:r>
      <w:r>
        <w:t xml:space="preserve"> </w:t>
      </w:r>
      <w:r>
        <w:t xml:space="preserve">松田 (1968)</w:t>
      </w:r>
      <w:r>
        <w:t xml:space="preserve"> </w:t>
      </w:r>
      <w:r>
        <w:t xml:space="preserve">の現代語訳は他の 10 名の共同執筆者によって作られている。この注釈書冒頭のの解説には、現代語訳は今までの研究にしたがって作られたとは述べているものの、10 名の共著者の間での翻訳の共通認識、作成方針は明らかに述べられていない。また、松田は古今集の和歌について、歌人の感情についてだけでなく、選者の編集意識についても、解釈にも含めようとしていると述べている</w:t>
      </w:r>
      <w:r>
        <w:t xml:space="preserve"> </w:t>
      </w:r>
      <w:r>
        <w:t xml:space="preserve">(松田 1968, 上下:9)</w:t>
      </w:r>
      <w:r>
        <w:t xml:space="preserve">。</w:t>
      </w:r>
      <w:r>
        <w:t xml:space="preserve"> </w:t>
      </w:r>
      <w:r>
        <w:t xml:space="preserve">小島 and 新井 (1989)</w:t>
      </w:r>
      <w:r>
        <w:t xml:space="preserve"> </w:t>
      </w:r>
      <w:r>
        <w:t xml:space="preserve">の特色の一つは注釈は江戸期 (1600–1868) だけでなく、これまでの注釈書では無視されてきた中世期 (1392–1600) に作られた注釈も取り入れていることである (pp. 481–482)。また、万葉集の和歌と用語が対比されて引用されている</w:t>
      </w:r>
      <w:r>
        <w:t xml:space="preserve"> </w:t>
      </w:r>
      <w:r>
        <w:t xml:space="preserve">(小島 and 新井 1989, 480)</w:t>
      </w:r>
      <w:r>
        <w:t xml:space="preserve">。各歌の注釈としては「歌番号」「大意」「語句の注」「参考事項」の順で述べられている。他の注釈本と比べてさほど量的に違いはないが、付録にはさまざまな資料が含まれており、付録だけで本の 30 % を占めているほどである。</w:t>
      </w:r>
    </w:p>
    <w:bookmarkEnd w:id="68"/>
    <w:bookmarkStart w:id="69" w:name="まとめ"/>
    <w:p>
      <w:pPr>
        <w:pStyle w:val="Heading3"/>
      </w:pPr>
      <w:r>
        <w:t xml:space="preserve">まとめ</w:t>
      </w:r>
    </w:p>
    <w:p>
      <w:pPr>
        <w:pStyle w:val="FirstParagraph"/>
      </w:pPr>
      <w:r>
        <w:t xml:space="preserve">それぞれの翻訳のアプローチを見る限り、ほとんどの作者が逐語訳を基本に原文の意味を変えない翻訳を試みているが、従来の注釈書の受け継ぎ方の特徴や情報伝達の力点の置き方がやはり異なっている。本稿では、「テキストの字義を重視」「作者の意図・感受の解釈を重視」「読者の理解を重視」「その他」のようにコミュニケーションモデルの観点から分類を行った。この中で、原文の字義を重視する翻訳アプローチは、もっとも逐語訳に拘っていた。作者の意図・感受を重視する・読者の理解を重視する翻訳アプローチでは、多少の語と語順の入れ替え、語句の補いを許容していた。ただし、この分類は互いに重なる部分もあるが予想される。</w:t>
      </w:r>
    </w:p>
    <w:bookmarkEnd w:id="69"/>
    <w:bookmarkEnd w:id="70"/>
    <w:bookmarkStart w:id="103" w:name="不一致率と追加率の推定結果"/>
    <w:p>
      <w:pPr>
        <w:pStyle w:val="Heading2"/>
      </w:pPr>
      <w:r>
        <w:t xml:space="preserve">3.2 不一致率と追加率の推定結果</w:t>
      </w:r>
    </w:p>
    <w:p>
      <w:pPr>
        <w:pStyle w:val="FirstParagraph"/>
      </w:pPr>
      <w:r>
        <w:t xml:space="preserve">追加率の計算結果は、</w:t>
      </w:r>
      <w:hyperlink w:anchor="fig-data">
        <w:r>
          <w:rPr>
            <w:rStyle w:val="Hyperlink"/>
          </w:rPr>
          <w:t xml:space="preserve">Figure 2</w:t>
        </w:r>
      </w:hyperlink>
      <w:r>
        <w:t xml:space="preserve"> </w:t>
      </w:r>
      <w:r>
        <w:t xml:space="preserve">を参照する。不一致率は 0–88 % であった</w:t>
      </w:r>
      <w:r>
        <w:t xml:space="preserve"> </w:t>
      </w:r>
      <w:hyperlink w:anchor="tbl-data-review">
        <w:r>
          <w:rPr>
            <w:rStyle w:val="Hyperlink"/>
          </w:rPr>
          <w:t xml:space="preserve">Table 3</w:t>
        </w:r>
      </w:hyperlink>
      <w:r>
        <w:t xml:space="preserve">。TKOK の現代語訳がもっとも不一致率が低く 17.2 % (sd = 0.1)であった</w:t>
      </w:r>
      <w:r>
        <w:t xml:space="preserve"> </w:t>
      </w:r>
      <w:hyperlink w:anchor="fig-unmatch-rate">
        <w:r>
          <w:rPr>
            <w:rStyle w:val="Hyperlink"/>
          </w:rPr>
          <w:t xml:space="preserve">Figure 3</w:t>
        </w:r>
      </w:hyperlink>
      <w:r>
        <w:t xml:space="preserve">。一方、OZW の現代語訳がもっとも高く 23% (sd = 0.112) であった</w:t>
      </w:r>
      <w:r>
        <w:t xml:space="preserve"> </w:t>
      </w:r>
      <w:hyperlink w:anchor="fig-unmatch-rate">
        <w:r>
          <w:rPr>
            <w:rStyle w:val="Hyperlink"/>
          </w:rPr>
          <w:t xml:space="preserve">Figure 3</w:t>
        </w:r>
      </w:hyperlink>
      <w:r>
        <w:t xml:space="preserve">。既に述べたように、OZW は語順を変更することを惜しまないのに対して、竹岡は自身の方針に遵守して翻訳した。それが如実にデータとしてあらわれていたといえよう。</w:t>
      </w:r>
    </w:p>
    <w:p>
      <w:pPr>
        <w:pStyle w:val="BodyText"/>
      </w:pPr>
      <w:r>
        <w:t xml:space="preserve">10 種の現代語訳のうち、697番歌は、88.2% ともっとも不一致率の高い和歌であった</w:t>
      </w:r>
      <w:r>
        <w:t xml:space="preserve"> </w:t>
      </w:r>
      <w:hyperlink w:anchor="tbl-data-review">
        <w:r>
          <w:rPr>
            <w:rStyle w:val="Hyperlink"/>
          </w:rPr>
          <w:t xml:space="preserve">Table 3</w:t>
        </w:r>
      </w:hyperlink>
      <w:r>
        <w:t xml:space="preserve">。つまり、和歌の中のほとんどの語が訳されていないと見てよい。このような歌については次の例で確認する。</w:t>
      </w:r>
    </w:p>
    <w:tbl>
      <w:tblPr>
        <w:tblStyle w:val="Table"/>
        <w:tblW w:type="pct" w:w="5000"/>
        <w:jc w:val="left"/>
        <w:tblLayout w:type="fixed"/>
        <w:tblLook w:firstRow="0" w:lastRow="0" w:firstColumn="0" w:lastColumn="0" w:noHBand="0" w:noVBand="0" w:val="0000"/>
      </w:tblPr>
      <w:tblGrid>
        <w:gridCol w:w="7920"/>
      </w:tblGrid>
      <w:tr>
        <w:tc>
          <w:tcPr/>
          <w:bookmarkStart w:id="74" w:name="fig-data"/>
          <w:p>
            <w:pPr>
              <w:pStyle w:val="Compact"/>
              <w:jc w:val="center"/>
            </w:pPr>
            <w:r>
              <w:drawing>
                <wp:inline>
                  <wp:extent cx="5334000" cy="3296708"/>
                  <wp:effectExtent b="0" l="0" r="0" t="0"/>
                  <wp:docPr descr="" title="" id="72" name="Picture"/>
                  <a:graphic>
                    <a:graphicData uri="http://schemas.openxmlformats.org/drawingml/2006/picture">
                      <pic:pic>
                        <pic:nvPicPr>
                          <pic:cNvPr descr="main_files/figure-docx/fig-data-1.png" id="73" name="Picture"/>
                          <pic:cNvPicPr>
                            <a:picLocks noChangeArrowheads="1" noChangeAspect="1"/>
                          </pic:cNvPicPr>
                        </pic:nvPicPr>
                        <pic:blipFill>
                          <a:blip r:embed="rId71"/>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t xml:space="preserve">訳者別の追加率の確率分布 Probability distribution of addition rates by translator</w:t>
            </w:r>
          </w:p>
          <w:bookmarkEnd w:id="74"/>
        </w:tc>
      </w:tr>
    </w:tbl>
    <w:p>
      <w:pPr>
        <w:pStyle w:val="SourceCode"/>
      </w:pPr>
      <w:r>
        <w:rPr>
          <w:rStyle w:val="VerbatimChar"/>
        </w:rPr>
        <w:t xml:space="preserve">Picking joint bandwidth of 0.0242</w:t>
      </w:r>
    </w:p>
    <w:tbl>
      <w:tblPr>
        <w:tblStyle w:val="Table"/>
        <w:tblW w:type="pct" w:w="5000"/>
        <w:jc w:val="left"/>
        <w:tblLayout w:type="fixed"/>
        <w:tblLook w:firstRow="0" w:lastRow="0" w:firstColumn="0" w:lastColumn="0" w:noHBand="0" w:noVBand="0" w:val="0000"/>
      </w:tblPr>
      <w:tblGrid>
        <w:gridCol w:w="7920"/>
      </w:tblGrid>
      <w:tr>
        <w:tc>
          <w:tcPr/>
          <w:bookmarkStart w:id="78" w:name="fig-unmatch-rate"/>
          <w:p>
            <w:pPr>
              <w:pStyle w:val="Compact"/>
              <w:jc w:val="center"/>
            </w:pPr>
            <w:r>
              <w:drawing>
                <wp:inline>
                  <wp:extent cx="5334000" cy="3296708"/>
                  <wp:effectExtent b="0" l="0" r="0" t="0"/>
                  <wp:docPr descr="" title="" id="76" name="Picture"/>
                  <a:graphic>
                    <a:graphicData uri="http://schemas.openxmlformats.org/drawingml/2006/picture">
                      <pic:pic>
                        <pic:nvPicPr>
                          <pic:cNvPr descr="main_files/figure-docx/fig-unmatch-rate-1.png" id="77" name="Picture"/>
                          <pic:cNvPicPr>
                            <a:picLocks noChangeArrowheads="1" noChangeAspect="1"/>
                          </pic:cNvPicPr>
                        </pic:nvPicPr>
                        <pic:blipFill>
                          <a:blip r:embed="rId75"/>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t xml:space="preserve">訳者別の不一致率の確率分布（明確な対応をもたない要素が和歌原文を占める割合） Probability distribution of unmatch rates by translator (unmatch rate is the proportion of elements in the original poem without agreement)</w:t>
            </w:r>
          </w:p>
          <w:bookmarkEnd w:id="78"/>
        </w:tc>
      </w:tr>
    </w:tbl>
    <w:bookmarkStart w:id="89" w:name="tbl-data-review"/>
    <w:tbl>
      <w:tblPr>
        <w:tblStyle w:val="Table"/>
        <w:tblW w:type="pct" w:w="4900"/>
        <w:jc w:val="left"/>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0" w:name="tbl-data-review-1"/>
                <w:p>
                  <w:pPr>
                    <w:jc w:val="center"/>
                    <w:jc w:val="left"/>
                  </w:pPr>
                  <w:pPr>
                    <w:jc w:val="start"/>
                    <w:spacing w:before="200"/>
                    <w:pStyle w:val="ImageCaption"/>
                  </w:pPr>
                  <w:r>
                    <w:t xml:space="preserve">(a) 不一致率・追加率の概要 Summary of unmatch and addition rates</w:t>
                  </w:r>
                </w:p>
                <w:bookmarkStart w:id="79" w:name="tbl-data-review-1"/>
                <w:tbl>
                  <w:tblPr>
                    <w:tblStyle w:val="Table"/>
                    <w:tblW w:type="pct" w:w="4900"/>
                    <w:jc w:val="left"/>
                    <w:tblLayout w:type="fixed"/>
                    <w:tblLook w:firstRow="1" w:lastRow="0" w:firstColumn="0" w:lastColumn="0" w:noHBand="0" w:noVBand="0" w:val="0020"/>
                  </w:tblPr>
                  <w:tblGrid>
                    <w:gridCol w:w="1293"/>
                    <w:gridCol w:w="1293"/>
                    <w:gridCol w:w="1293"/>
                    <w:gridCol w:w="1293"/>
                    <w:gridCol w:w="1293"/>
                    <w:gridCol w:w="1293"/>
                  </w:tblGrid>
                  <w:tr>
                    <w:trPr>
                      <w:tblHeader w:val="on"/>
                    </w:trPr>
                    <w:tc>
                      <w:tcPr/>
                      <w:p>
                        <w:pPr>
                          <w:pStyle w:val="Compact"/>
                          <w:jc w:val="left"/>
                          <w:jc w:val="center"/>
                          <w:jc w:val="left"/>
                        </w:pPr>
                        <w:r>
                          <w:t xml:space="preserve">variable</w:t>
                        </w:r>
                      </w:p>
                    </w:tc>
                    <w:tc>
                      <w:tcPr/>
                      <w:p>
                        <w:pPr>
                          <w:pStyle w:val="Compact"/>
                          <w:jc w:val="right"/>
                          <w:jc w:val="center"/>
                          <w:jc w:val="left"/>
                        </w:pPr>
                        <w:r>
                          <w:t xml:space="preserve">min</w:t>
                        </w:r>
                      </w:p>
                    </w:tc>
                    <w:tc>
                      <w:tcPr/>
                      <w:p>
                        <w:pPr>
                          <w:pStyle w:val="Compact"/>
                          <w:jc w:val="right"/>
                          <w:jc w:val="center"/>
                          <w:jc w:val="left"/>
                        </w:pPr>
                        <w:r>
                          <w:t xml:space="preserve">max</w:t>
                        </w:r>
                      </w:p>
                    </w:tc>
                    <w:tc>
                      <w:tcPr/>
                      <w:p>
                        <w:pPr>
                          <w:pStyle w:val="Compact"/>
                          <w:jc w:val="right"/>
                          <w:jc w:val="center"/>
                          <w:jc w:val="left"/>
                        </w:pPr>
                        <w:r>
                          <w:t xml:space="preserve">median</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UnmatchRate</w:t>
                        </w:r>
                      </w:p>
                    </w:tc>
                    <w:tc>
                      <w:tcPr/>
                      <w:p>
                        <w:pPr>
                          <w:pStyle w:val="Compact"/>
                          <w:jc w:val="right"/>
                          <w:jc w:val="center"/>
                          <w:jc w:val="left"/>
                        </w:pPr>
                        <w:r>
                          <w:t xml:space="preserve">0.000</w:t>
                        </w:r>
                      </w:p>
                    </w:tc>
                    <w:tc>
                      <w:tcPr/>
                      <w:p>
                        <w:pPr>
                          <w:pStyle w:val="Compact"/>
                          <w:jc w:val="right"/>
                          <w:jc w:val="center"/>
                          <w:jc w:val="left"/>
                        </w:pPr>
                        <w:r>
                          <w:t xml:space="preserve">0.882</w:t>
                        </w:r>
                      </w:p>
                    </w:tc>
                    <w:tc>
                      <w:tcPr/>
                      <w:p>
                        <w:pPr>
                          <w:pStyle w:val="Compact"/>
                          <w:jc w:val="right"/>
                          <w:jc w:val="center"/>
                          <w:jc w:val="left"/>
                        </w:pPr>
                        <w:r>
                          <w:t xml:space="preserve">0.188</w:t>
                        </w:r>
                      </w:p>
                    </w:tc>
                    <w:tc>
                      <w:tcPr/>
                      <w:p>
                        <w:pPr>
                          <w:pStyle w:val="Compact"/>
                          <w:jc w:val="right"/>
                          <w:jc w:val="center"/>
                          <w:jc w:val="left"/>
                        </w:pPr>
                        <w:r>
                          <w:t xml:space="preserve">0.198</w:t>
                        </w:r>
                      </w:p>
                    </w:tc>
                    <w:tc>
                      <w:tcPr/>
                      <w:p>
                        <w:pPr>
                          <w:pStyle w:val="Compact"/>
                          <w:jc w:val="right"/>
                          <w:jc w:val="center"/>
                          <w:jc w:val="left"/>
                        </w:pPr>
                        <w:r>
                          <w:t xml:space="preserve">0.110</w:t>
                        </w:r>
                      </w:p>
                    </w:tc>
                  </w:tr>
                  <w:tr>
                    <w:tc>
                      <w:tcPr/>
                      <w:p>
                        <w:pPr>
                          <w:pStyle w:val="Compact"/>
                          <w:jc w:val="left"/>
                          <w:jc w:val="center"/>
                          <w:jc w:val="left"/>
                        </w:pPr>
                        <w:r>
                          <w:t xml:space="preserve">AdditionRate</w:t>
                        </w:r>
                      </w:p>
                    </w:tc>
                    <w:tc>
                      <w:tcPr/>
                      <w:p>
                        <w:pPr>
                          <w:pStyle w:val="Compact"/>
                          <w:jc w:val="right"/>
                          <w:jc w:val="center"/>
                          <w:jc w:val="left"/>
                        </w:pPr>
                        <w:r>
                          <w:t xml:space="preserve">0.053</w:t>
                        </w:r>
                      </w:p>
                    </w:tc>
                    <w:tc>
                      <w:tcPr/>
                      <w:p>
                        <w:pPr>
                          <w:pStyle w:val="Compact"/>
                          <w:jc w:val="right"/>
                          <w:jc w:val="center"/>
                          <w:jc w:val="left"/>
                        </w:pPr>
                        <w:r>
                          <w:t xml:space="preserve">0.864</w:t>
                        </w:r>
                      </w:p>
                    </w:tc>
                    <w:tc>
                      <w:tcPr/>
                      <w:p>
                        <w:pPr>
                          <w:pStyle w:val="Compact"/>
                          <w:jc w:val="right"/>
                          <w:jc w:val="center"/>
                          <w:jc w:val="left"/>
                        </w:pPr>
                        <w:r>
                          <w:t xml:space="preserve">0.600</w:t>
                        </w:r>
                      </w:p>
                    </w:tc>
                    <w:tc>
                      <w:tcPr/>
                      <w:p>
                        <w:pPr>
                          <w:pStyle w:val="Compact"/>
                          <w:jc w:val="right"/>
                          <w:jc w:val="center"/>
                          <w:jc w:val="left"/>
                        </w:pPr>
                        <w:r>
                          <w:t xml:space="preserve">0.587</w:t>
                        </w:r>
                      </w:p>
                    </w:tc>
                    <w:tc>
                      <w:tcPr/>
                      <w:p>
                        <w:pPr>
                          <w:pStyle w:val="Compact"/>
                          <w:jc w:val="right"/>
                          <w:jc w:val="center"/>
                          <w:jc w:val="left"/>
                        </w:pPr>
                        <w:r>
                          <w:t xml:space="preserve">0.114</w:t>
                        </w:r>
                      </w:p>
                    </w:tc>
                  </w:tr>
                </w:tbl>
                <w:bookmarkEnd w:id="79"/>
                <w:bookmarkEnd w:id="80"/>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2" w:name="tbl-data-review-2"/>
                <w:p>
                  <w:pPr>
                    <w:jc w:val="center"/>
                    <w:jc w:val="left"/>
                  </w:pPr>
                  <w:pPr>
                    <w:jc w:val="start"/>
                    <w:spacing w:before="200"/>
                    <w:pStyle w:val="ImageCaption"/>
                  </w:pPr>
                  <w:r>
                    <w:t xml:space="preserve">(b) 不一致率のもっとも高い歌・訳対 Poems and translations with the highest unmatch rates</w:t>
                  </w:r>
                </w:p>
                <w:bookmarkStart w:id="81" w:name="tbl-data-review-2"/>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UnmatchRate</w:t>
                        </w:r>
                      </w:p>
                    </w:tc>
                  </w:tr>
                  <w:tr>
                    <w:tc>
                      <w:tcPr/>
                      <w:p>
                        <w:pPr>
                          <w:pStyle w:val="Compact"/>
                          <w:jc w:val="left"/>
                          <w:jc w:val="center"/>
                          <w:jc w:val="left"/>
                        </w:pPr>
                        <w:r>
                          <w:t xml:space="preserve">MTD</w:t>
                        </w:r>
                      </w:p>
                    </w:tc>
                    <w:tc>
                      <w:tcPr/>
                      <w:p>
                        <w:pPr>
                          <w:pStyle w:val="Compact"/>
                          <w:jc w:val="left"/>
                          <w:jc w:val="center"/>
                          <w:jc w:val="left"/>
                        </w:pPr>
                        <w:r>
                          <w:t xml:space="preserve">697</w:t>
                        </w:r>
                      </w:p>
                    </w:tc>
                    <w:tc>
                      <w:tcPr/>
                      <w:p>
                        <w:pPr>
                          <w:pStyle w:val="Compact"/>
                          <w:jc w:val="right"/>
                          <w:jc w:val="center"/>
                          <w:jc w:val="left"/>
                        </w:pPr>
                        <w:r>
                          <w:t xml:space="preserve">0.882</w:t>
                        </w:r>
                      </w:p>
                    </w:tc>
                  </w:tr>
                  <w:tr>
                    <w:tc>
                      <w:tcPr/>
                      <w:p>
                        <w:pPr>
                          <w:pStyle w:val="Compact"/>
                          <w:jc w:val="left"/>
                          <w:jc w:val="center"/>
                          <w:jc w:val="left"/>
                        </w:pPr>
                        <w:r>
                          <w:t xml:space="preserve">KSJ</w:t>
                        </w:r>
                      </w:p>
                    </w:tc>
                    <w:tc>
                      <w:tcPr/>
                      <w:p>
                        <w:pPr>
                          <w:pStyle w:val="Compact"/>
                          <w:jc w:val="left"/>
                          <w:jc w:val="center"/>
                          <w:jc w:val="left"/>
                        </w:pPr>
                        <w:r>
                          <w:t xml:space="preserve">404</w:t>
                        </w:r>
                      </w:p>
                    </w:tc>
                    <w:tc>
                      <w:tcPr/>
                      <w:p>
                        <w:pPr>
                          <w:pStyle w:val="Compact"/>
                          <w:jc w:val="right"/>
                          <w:jc w:val="center"/>
                          <w:jc w:val="left"/>
                        </w:pPr>
                        <w:r>
                          <w:t xml:space="preserve">0.778</w:t>
                        </w:r>
                      </w:p>
                    </w:tc>
                  </w:tr>
                  <w:tr>
                    <w:tc>
                      <w:tcPr/>
                      <w:p>
                        <w:pPr>
                          <w:pStyle w:val="Compact"/>
                          <w:jc w:val="left"/>
                          <w:jc w:val="center"/>
                          <w:jc w:val="left"/>
                        </w:pPr>
                        <w:r>
                          <w:t xml:space="preserve">KSJ</w:t>
                        </w:r>
                      </w:p>
                    </w:tc>
                    <w:tc>
                      <w:tcPr/>
                      <w:p>
                        <w:pPr>
                          <w:pStyle w:val="Compact"/>
                          <w:jc w:val="left"/>
                          <w:jc w:val="center"/>
                          <w:jc w:val="left"/>
                        </w:pPr>
                        <w:r>
                          <w:t xml:space="preserve">886</w:t>
                        </w:r>
                      </w:p>
                    </w:tc>
                    <w:tc>
                      <w:tcPr/>
                      <w:p>
                        <w:pPr>
                          <w:pStyle w:val="Compact"/>
                          <w:jc w:val="right"/>
                          <w:jc w:val="center"/>
                          <w:jc w:val="left"/>
                        </w:pPr>
                        <w:r>
                          <w:t xml:space="preserve">0.733</w:t>
                        </w:r>
                      </w:p>
                    </w:tc>
                  </w:tr>
                  <w:tr>
                    <w:tc>
                      <w:tcPr/>
                      <w:p>
                        <w:pPr>
                          <w:pStyle w:val="Compact"/>
                          <w:jc w:val="left"/>
                          <w:jc w:val="center"/>
                          <w:jc w:val="left"/>
                        </w:pPr>
                        <w:r>
                          <w:t xml:space="preserve">OKMR</w:t>
                        </w:r>
                      </w:p>
                    </w:tc>
                    <w:tc>
                      <w:tcPr/>
                      <w:p>
                        <w:pPr>
                          <w:pStyle w:val="Compact"/>
                          <w:jc w:val="left"/>
                          <w:jc w:val="center"/>
                          <w:jc w:val="left"/>
                        </w:pPr>
                        <w:r>
                          <w:t xml:space="preserve">515</w:t>
                        </w:r>
                      </w:p>
                    </w:tc>
                    <w:tc>
                      <w:tcPr/>
                      <w:p>
                        <w:pPr>
                          <w:pStyle w:val="Compact"/>
                          <w:jc w:val="right"/>
                          <w:jc w:val="center"/>
                          <w:jc w:val="left"/>
                        </w:pPr>
                        <w:r>
                          <w:t xml:space="preserve">0.733</w:t>
                        </w:r>
                      </w:p>
                    </w:tc>
                  </w:tr>
                  <w:tr>
                    <w:tc>
                      <w:tcPr/>
                      <w:p>
                        <w:pPr>
                          <w:pStyle w:val="Compact"/>
                          <w:jc w:val="left"/>
                          <w:jc w:val="center"/>
                          <w:jc w:val="left"/>
                        </w:pPr>
                        <w:r>
                          <w:t xml:space="preserve">KSJ</w:t>
                        </w:r>
                      </w:p>
                    </w:tc>
                    <w:tc>
                      <w:tcPr/>
                      <w:p>
                        <w:pPr>
                          <w:pStyle w:val="Compact"/>
                          <w:jc w:val="left"/>
                          <w:jc w:val="center"/>
                          <w:jc w:val="left"/>
                        </w:pPr>
                        <w:r>
                          <w:t xml:space="preserve">515</w:t>
                        </w:r>
                      </w:p>
                    </w:tc>
                    <w:tc>
                      <w:tcPr/>
                      <w:p>
                        <w:pPr>
                          <w:pStyle w:val="Compact"/>
                          <w:jc w:val="right"/>
                          <w:jc w:val="center"/>
                          <w:jc w:val="left"/>
                        </w:pPr>
                        <w:r>
                          <w:t xml:space="preserve">0.733</w:t>
                        </w:r>
                      </w:p>
                    </w:tc>
                  </w:tr>
                </w:tbl>
                <w:bookmarkEnd w:id="81"/>
                <w:bookmarkEnd w:id="82"/>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4" w:name="tbl-data-review-3"/>
                <w:p>
                  <w:pPr>
                    <w:jc w:val="center"/>
                    <w:jc w:val="left"/>
                  </w:pPr>
                  <w:pPr>
                    <w:jc w:val="start"/>
                    <w:spacing w:before="200"/>
                    <w:pStyle w:val="ImageCaption"/>
                  </w:pPr>
                  <w:r>
                    <w:t xml:space="preserve">(c) 不一致率のもっとも低い歌・訳対 Poems and translations with the lowest unmatch rates</w:t>
                  </w:r>
                </w:p>
                <w:bookmarkStart w:id="83" w:name="tbl-data-review-3"/>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AdditionRate</w:t>
                        </w:r>
                      </w:p>
                    </w:tc>
                  </w:tr>
                  <w:tr>
                    <w:tc>
                      <w:tcPr/>
                      <w:p>
                        <w:pPr>
                          <w:pStyle w:val="Compact"/>
                          <w:jc w:val="left"/>
                          <w:jc w:val="center"/>
                          <w:jc w:val="left"/>
                        </w:pPr>
                        <w:r>
                          <w:t xml:space="preserve">TKOK</w:t>
                        </w:r>
                      </w:p>
                    </w:tc>
                    <w:tc>
                      <w:tcPr/>
                      <w:p>
                        <w:pPr>
                          <w:pStyle w:val="Compact"/>
                          <w:jc w:val="left"/>
                          <w:jc w:val="center"/>
                          <w:jc w:val="left"/>
                        </w:pPr>
                        <w:r>
                          <w:t xml:space="preserve">173</w:t>
                        </w:r>
                      </w:p>
                    </w:tc>
                    <w:tc>
                      <w:tcPr/>
                      <w:p>
                        <w:pPr>
                          <w:pStyle w:val="Compact"/>
                          <w:jc w:val="right"/>
                          <w:jc w:val="center"/>
                          <w:jc w:val="left"/>
                        </w:pPr>
                        <w:r>
                          <w:t xml:space="preserve">0.053</w:t>
                        </w:r>
                      </w:p>
                    </w:tc>
                  </w:tr>
                  <w:tr>
                    <w:tc>
                      <w:tcPr/>
                      <w:p>
                        <w:pPr>
                          <w:pStyle w:val="Compact"/>
                          <w:jc w:val="left"/>
                          <w:jc w:val="center"/>
                          <w:jc w:val="left"/>
                        </w:pPr>
                        <w:r>
                          <w:t xml:space="preserve">TKOK</w:t>
                        </w:r>
                      </w:p>
                    </w:tc>
                    <w:tc>
                      <w:tcPr/>
                      <w:p>
                        <w:pPr>
                          <w:pStyle w:val="Compact"/>
                          <w:jc w:val="left"/>
                          <w:jc w:val="center"/>
                          <w:jc w:val="left"/>
                        </w:pPr>
                        <w:r>
                          <w:t xml:space="preserve">343</w:t>
                        </w:r>
                      </w:p>
                    </w:tc>
                    <w:tc>
                      <w:tcPr/>
                      <w:p>
                        <w:pPr>
                          <w:pStyle w:val="Compact"/>
                          <w:jc w:val="right"/>
                          <w:jc w:val="center"/>
                          <w:jc w:val="left"/>
                        </w:pPr>
                        <w:r>
                          <w:t xml:space="preserve">0.091</w:t>
                        </w:r>
                      </w:p>
                    </w:tc>
                  </w:tr>
                  <w:tr>
                    <w:tc>
                      <w:tcPr/>
                      <w:p>
                        <w:pPr>
                          <w:pStyle w:val="Compact"/>
                          <w:jc w:val="left"/>
                          <w:jc w:val="center"/>
                          <w:jc w:val="left"/>
                        </w:pPr>
                        <w:r>
                          <w:t xml:space="preserve">TKOK</w:t>
                        </w:r>
                      </w:p>
                    </w:tc>
                    <w:tc>
                      <w:tcPr/>
                      <w:p>
                        <w:pPr>
                          <w:pStyle w:val="Compact"/>
                          <w:jc w:val="left"/>
                          <w:jc w:val="center"/>
                          <w:jc w:val="left"/>
                        </w:pPr>
                        <w:r>
                          <w:t xml:space="preserve">478</w:t>
                        </w:r>
                      </w:p>
                    </w:tc>
                    <w:tc>
                      <w:tcPr/>
                      <w:p>
                        <w:pPr>
                          <w:pStyle w:val="Compact"/>
                          <w:jc w:val="right"/>
                          <w:jc w:val="center"/>
                          <w:jc w:val="left"/>
                        </w:pPr>
                        <w:r>
                          <w:t xml:space="preserve">0.115</w:t>
                        </w:r>
                      </w:p>
                    </w:tc>
                  </w:tr>
                  <w:tr>
                    <w:tc>
                      <w:tcPr/>
                      <w:p>
                        <w:pPr>
                          <w:pStyle w:val="Compact"/>
                          <w:jc w:val="left"/>
                          <w:jc w:val="center"/>
                          <w:jc w:val="left"/>
                        </w:pPr>
                        <w:r>
                          <w:t xml:space="preserve">MTD</w:t>
                        </w:r>
                      </w:p>
                    </w:tc>
                    <w:tc>
                      <w:tcPr/>
                      <w:p>
                        <w:pPr>
                          <w:pStyle w:val="Compact"/>
                          <w:jc w:val="left"/>
                          <w:jc w:val="center"/>
                          <w:jc w:val="left"/>
                        </w:pPr>
                        <w:r>
                          <w:t xml:space="preserve">661</w:t>
                        </w:r>
                      </w:p>
                    </w:tc>
                    <w:tc>
                      <w:tcPr/>
                      <w:p>
                        <w:pPr>
                          <w:pStyle w:val="Compact"/>
                          <w:jc w:val="right"/>
                          <w:jc w:val="center"/>
                          <w:jc w:val="left"/>
                        </w:pPr>
                        <w:r>
                          <w:t xml:space="preserve">0.133</w:t>
                        </w:r>
                      </w:p>
                    </w:tc>
                  </w:tr>
                  <w:tr>
                    <w:tc>
                      <w:tcPr/>
                      <w:p>
                        <w:pPr>
                          <w:pStyle w:val="Compact"/>
                          <w:jc w:val="left"/>
                          <w:jc w:val="center"/>
                          <w:jc w:val="left"/>
                        </w:pPr>
                        <w:r>
                          <w:t xml:space="preserve">TKOK</w:t>
                        </w:r>
                      </w:p>
                    </w:tc>
                    <w:tc>
                      <w:tcPr/>
                      <w:p>
                        <w:pPr>
                          <w:pStyle w:val="Compact"/>
                          <w:jc w:val="left"/>
                          <w:jc w:val="center"/>
                          <w:jc w:val="left"/>
                        </w:pPr>
                        <w:r>
                          <w:t xml:space="preserve">744</w:t>
                        </w:r>
                      </w:p>
                    </w:tc>
                    <w:tc>
                      <w:tcPr/>
                      <w:p>
                        <w:pPr>
                          <w:pStyle w:val="Compact"/>
                          <w:jc w:val="right"/>
                          <w:jc w:val="center"/>
                          <w:jc w:val="left"/>
                        </w:pPr>
                        <w:r>
                          <w:t xml:space="preserve">0.143</w:t>
                        </w:r>
                      </w:p>
                    </w:tc>
                  </w:tr>
                </w:tbl>
                <w:bookmarkEnd w:id="83"/>
                <w:bookmarkEnd w:id="84"/>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6" w:name="tbl-data-review-4"/>
                <w:p>
                  <w:pPr>
                    <w:jc w:val="center"/>
                    <w:jc w:val="left"/>
                  </w:pPr>
                  <w:pPr>
                    <w:jc w:val="start"/>
                    <w:spacing w:before="200"/>
                    <w:pStyle w:val="ImageCaption"/>
                  </w:pPr>
                  <w:r>
                    <w:t xml:space="preserve">(d) 現代語訳の不一致率のもっとも高い歌 Poem with the highest unmatch rate in contemporary translations</w:t>
                  </w:r>
                </w:p>
                <w:bookmarkStart w:id="85" w:name="tbl-data-review-4"/>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718</w:t>
                        </w:r>
                      </w:p>
                    </w:tc>
                    <w:tc>
                      <w:tcPr/>
                      <w:p>
                        <w:pPr>
                          <w:pStyle w:val="Compact"/>
                          <w:jc w:val="left"/>
                          <w:jc w:val="center"/>
                          <w:jc w:val="left"/>
                        </w:pPr>
                        <w:r>
                          <w:t xml:space="preserve">UnmatchRate</w:t>
                        </w:r>
                      </w:p>
                    </w:tc>
                    <w:tc>
                      <w:tcPr/>
                      <w:p>
                        <w:pPr>
                          <w:pStyle w:val="Compact"/>
                          <w:jc w:val="right"/>
                          <w:jc w:val="center"/>
                          <w:jc w:val="left"/>
                        </w:pPr>
                        <w:r>
                          <w:t xml:space="preserve">0.481</w:t>
                        </w:r>
                      </w:p>
                    </w:tc>
                    <w:tc>
                      <w:tcPr/>
                      <w:p>
                        <w:pPr>
                          <w:pStyle w:val="Compact"/>
                          <w:jc w:val="right"/>
                          <w:jc w:val="center"/>
                          <w:jc w:val="left"/>
                        </w:pPr>
                        <w:r>
                          <w:t xml:space="preserve">0.078</w:t>
                        </w:r>
                      </w:p>
                    </w:tc>
                  </w:tr>
                  <w:tr>
                    <w:tc>
                      <w:tcPr/>
                      <w:p>
                        <w:pPr>
                          <w:pStyle w:val="Compact"/>
                          <w:jc w:val="left"/>
                          <w:jc w:val="center"/>
                          <w:jc w:val="left"/>
                        </w:pPr>
                        <w:r>
                          <w:t xml:space="preserve">703</w:t>
                        </w:r>
                      </w:p>
                    </w:tc>
                    <w:tc>
                      <w:tcPr/>
                      <w:p>
                        <w:pPr>
                          <w:pStyle w:val="Compact"/>
                          <w:jc w:val="left"/>
                          <w:jc w:val="center"/>
                          <w:jc w:val="left"/>
                        </w:pPr>
                        <w:r>
                          <w:t xml:space="preserve">UnmatchRate</w:t>
                        </w:r>
                      </w:p>
                    </w:tc>
                    <w:tc>
                      <w:tcPr/>
                      <w:p>
                        <w:pPr>
                          <w:pStyle w:val="Compact"/>
                          <w:jc w:val="right"/>
                          <w:jc w:val="center"/>
                          <w:jc w:val="left"/>
                        </w:pPr>
                        <w:r>
                          <w:t xml:space="preserve">0.472</w:t>
                        </w:r>
                      </w:p>
                    </w:tc>
                    <w:tc>
                      <w:tcPr/>
                      <w:p>
                        <w:pPr>
                          <w:pStyle w:val="Compact"/>
                          <w:jc w:val="right"/>
                          <w:jc w:val="center"/>
                          <w:jc w:val="left"/>
                        </w:pPr>
                        <w:r>
                          <w:t xml:space="preserve">0.109</w:t>
                        </w:r>
                      </w:p>
                    </w:tc>
                  </w:tr>
                  <w:tr>
                    <w:tc>
                      <w:tcPr/>
                      <w:p>
                        <w:pPr>
                          <w:pStyle w:val="Compact"/>
                          <w:jc w:val="left"/>
                          <w:jc w:val="center"/>
                          <w:jc w:val="left"/>
                        </w:pPr>
                        <w:r>
                          <w:t xml:space="preserve">576</w:t>
                        </w:r>
                      </w:p>
                    </w:tc>
                    <w:tc>
                      <w:tcPr/>
                      <w:p>
                        <w:pPr>
                          <w:pStyle w:val="Compact"/>
                          <w:jc w:val="left"/>
                          <w:jc w:val="center"/>
                          <w:jc w:val="left"/>
                        </w:pPr>
                        <w:r>
                          <w:t xml:space="preserve">UnmatchRate</w:t>
                        </w:r>
                      </w:p>
                    </w:tc>
                    <w:tc>
                      <w:tcPr/>
                      <w:p>
                        <w:pPr>
                          <w:pStyle w:val="Compact"/>
                          <w:jc w:val="right"/>
                          <w:jc w:val="center"/>
                          <w:jc w:val="left"/>
                        </w:pPr>
                        <w:r>
                          <w:t xml:space="preserve">0.467</w:t>
                        </w:r>
                      </w:p>
                    </w:tc>
                    <w:tc>
                      <w:tcPr/>
                      <w:p>
                        <w:pPr>
                          <w:pStyle w:val="Compact"/>
                          <w:jc w:val="right"/>
                          <w:jc w:val="center"/>
                          <w:jc w:val="left"/>
                        </w:pPr>
                        <w:r>
                          <w:t xml:space="preserve">0.070</w:t>
                        </w:r>
                      </w:p>
                    </w:tc>
                  </w:tr>
                  <w:tr>
                    <w:tc>
                      <w:tcPr/>
                      <w:p>
                        <w:pPr>
                          <w:pStyle w:val="Compact"/>
                          <w:jc w:val="left"/>
                          <w:jc w:val="center"/>
                          <w:jc w:val="left"/>
                        </w:pPr>
                        <w:r>
                          <w:t xml:space="preserve">150</w:t>
                        </w:r>
                      </w:p>
                    </w:tc>
                    <w:tc>
                      <w:tcPr/>
                      <w:p>
                        <w:pPr>
                          <w:pStyle w:val="Compact"/>
                          <w:jc w:val="left"/>
                          <w:jc w:val="center"/>
                          <w:jc w:val="left"/>
                        </w:pPr>
                        <w:r>
                          <w:t xml:space="preserve">UnmatchRate</w:t>
                        </w:r>
                      </w:p>
                    </w:tc>
                    <w:tc>
                      <w:tcPr/>
                      <w:p>
                        <w:pPr>
                          <w:pStyle w:val="Compact"/>
                          <w:jc w:val="right"/>
                          <w:jc w:val="center"/>
                          <w:jc w:val="left"/>
                        </w:pPr>
                        <w:r>
                          <w:t xml:space="preserve">0.447</w:t>
                        </w:r>
                      </w:p>
                    </w:tc>
                    <w:tc>
                      <w:tcPr/>
                      <w:p>
                        <w:pPr>
                          <w:pStyle w:val="Compact"/>
                          <w:jc w:val="right"/>
                          <w:jc w:val="center"/>
                          <w:jc w:val="left"/>
                        </w:pPr>
                        <w:r>
                          <w:t xml:space="preserve">0.084</w:t>
                        </w:r>
                      </w:p>
                    </w:tc>
                  </w:tr>
                  <w:tr>
                    <w:tc>
                      <w:tcPr/>
                      <w:p>
                        <w:pPr>
                          <w:pStyle w:val="Compact"/>
                          <w:jc w:val="left"/>
                          <w:jc w:val="center"/>
                          <w:jc w:val="left"/>
                        </w:pPr>
                        <w:r>
                          <w:t xml:space="preserve">515</w:t>
                        </w:r>
                      </w:p>
                    </w:tc>
                    <w:tc>
                      <w:tcPr/>
                      <w:p>
                        <w:pPr>
                          <w:pStyle w:val="Compact"/>
                          <w:jc w:val="left"/>
                          <w:jc w:val="center"/>
                          <w:jc w:val="left"/>
                        </w:pPr>
                        <w:r>
                          <w:t xml:space="preserve">UnmatchRate</w:t>
                        </w:r>
                      </w:p>
                    </w:tc>
                    <w:tc>
                      <w:tcPr/>
                      <w:p>
                        <w:pPr>
                          <w:pStyle w:val="Compact"/>
                          <w:jc w:val="right"/>
                          <w:jc w:val="center"/>
                          <w:jc w:val="left"/>
                        </w:pPr>
                        <w:r>
                          <w:t xml:space="preserve">0.440</w:t>
                        </w:r>
                      </w:p>
                    </w:tc>
                    <w:tc>
                      <w:tcPr/>
                      <w:p>
                        <w:pPr>
                          <w:pStyle w:val="Compact"/>
                          <w:jc w:val="right"/>
                          <w:jc w:val="center"/>
                          <w:jc w:val="left"/>
                        </w:pPr>
                        <w:r>
                          <w:t xml:space="preserve">0.164</w:t>
                        </w:r>
                      </w:p>
                    </w:tc>
                  </w:tr>
                </w:tbl>
                <w:bookmarkEnd w:id="85"/>
                <w:bookmarkEnd w:id="86"/>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8" w:name="tbl-data-review-5"/>
                <w:p>
                  <w:pPr>
                    <w:jc w:val="center"/>
                    <w:jc w:val="left"/>
                  </w:pPr>
                  <w:pPr>
                    <w:jc w:val="start"/>
                    <w:spacing w:before="200"/>
                    <w:pStyle w:val="ImageCaption"/>
                  </w:pPr>
                  <w:r>
                    <w:t xml:space="preserve">(e) 現代語訳の追加率のもっとも高い歌 Poem with the highest addition rate in contemporary translations</w:t>
                  </w:r>
                </w:p>
                <w:bookmarkStart w:id="87" w:name="tbl-data-review-5"/>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669</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0.046</w:t>
                        </w:r>
                      </w:p>
                    </w:tc>
                  </w:tr>
                  <w:tr>
                    <w:tc>
                      <w:tcPr/>
                      <w:p>
                        <w:pPr>
                          <w:pStyle w:val="Compact"/>
                          <w:jc w:val="left"/>
                          <w:jc w:val="center"/>
                          <w:jc w:val="left"/>
                        </w:pPr>
                        <w:r>
                          <w:t xml:space="preserve">420</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0.065</w:t>
                        </w:r>
                      </w:p>
                    </w:tc>
                  </w:tr>
                  <w:tr>
                    <w:tc>
                      <w:tcPr/>
                      <w:p>
                        <w:pPr>
                          <w:pStyle w:val="Compact"/>
                          <w:jc w:val="left"/>
                          <w:jc w:val="center"/>
                          <w:jc w:val="left"/>
                        </w:pPr>
                        <w:r>
                          <w:t xml:space="preserve">705</w:t>
                        </w:r>
                      </w:p>
                    </w:tc>
                    <w:tc>
                      <w:tcPr/>
                      <w:p>
                        <w:pPr>
                          <w:pStyle w:val="Compact"/>
                          <w:jc w:val="left"/>
                          <w:jc w:val="center"/>
                          <w:jc w:val="left"/>
                        </w:pPr>
                        <w:r>
                          <w:t xml:space="preserve">AdditionRate</w:t>
                        </w:r>
                      </w:p>
                    </w:tc>
                    <w:tc>
                      <w:tcPr/>
                      <w:p>
                        <w:pPr>
                          <w:pStyle w:val="Compact"/>
                          <w:jc w:val="right"/>
                          <w:jc w:val="center"/>
                          <w:jc w:val="left"/>
                        </w:pPr>
                        <w:r>
                          <w:t xml:space="preserve">0.771</w:t>
                        </w:r>
                      </w:p>
                    </w:tc>
                    <w:tc>
                      <w:tcPr/>
                      <w:p>
                        <w:pPr>
                          <w:pStyle w:val="Compact"/>
                          <w:jc w:val="right"/>
                          <w:jc w:val="center"/>
                          <w:jc w:val="left"/>
                        </w:pPr>
                        <w:r>
                          <w:t xml:space="preserve">0.052</w:t>
                        </w:r>
                      </w:p>
                    </w:tc>
                  </w:tr>
                  <w:tr>
                    <w:tc>
                      <w:tcPr/>
                      <w:p>
                        <w:pPr>
                          <w:pStyle w:val="Compact"/>
                          <w:jc w:val="left"/>
                          <w:jc w:val="center"/>
                          <w:jc w:val="left"/>
                        </w:pPr>
                        <w:r>
                          <w:t xml:space="preserve">749</w:t>
                        </w:r>
                      </w:p>
                    </w:tc>
                    <w:tc>
                      <w:tcPr/>
                      <w:p>
                        <w:pPr>
                          <w:pStyle w:val="Compact"/>
                          <w:jc w:val="left"/>
                          <w:jc w:val="center"/>
                          <w:jc w:val="left"/>
                        </w:pPr>
                        <w:r>
                          <w:t xml:space="preserve">AdditionRate</w:t>
                        </w:r>
                      </w:p>
                    </w:tc>
                    <w:tc>
                      <w:tcPr/>
                      <w:p>
                        <w:pPr>
                          <w:pStyle w:val="Compact"/>
                          <w:jc w:val="right"/>
                          <w:jc w:val="center"/>
                          <w:jc w:val="left"/>
                        </w:pPr>
                        <w:r>
                          <w:t xml:space="preserve">0.768</w:t>
                        </w:r>
                      </w:p>
                    </w:tc>
                    <w:tc>
                      <w:tcPr/>
                      <w:p>
                        <w:pPr>
                          <w:pStyle w:val="Compact"/>
                          <w:jc w:val="right"/>
                          <w:jc w:val="center"/>
                          <w:jc w:val="left"/>
                        </w:pPr>
                        <w:r>
                          <w:t xml:space="preserve">0.052</w:t>
                        </w:r>
                      </w:p>
                    </w:tc>
                  </w:tr>
                  <w:tr>
                    <w:tc>
                      <w:tcPr/>
                      <w:p>
                        <w:pPr>
                          <w:pStyle w:val="Compact"/>
                          <w:jc w:val="left"/>
                          <w:jc w:val="center"/>
                          <w:jc w:val="left"/>
                        </w:pPr>
                        <w:r>
                          <w:t xml:space="preserve">143</w:t>
                        </w:r>
                      </w:p>
                    </w:tc>
                    <w:tc>
                      <w:tcPr/>
                      <w:p>
                        <w:pPr>
                          <w:pStyle w:val="Compact"/>
                          <w:jc w:val="left"/>
                          <w:jc w:val="center"/>
                          <w:jc w:val="left"/>
                        </w:pPr>
                        <w:r>
                          <w:t xml:space="preserve">AdditionRate</w:t>
                        </w:r>
                      </w:p>
                    </w:tc>
                    <w:tc>
                      <w:tcPr/>
                      <w:p>
                        <w:pPr>
                          <w:pStyle w:val="Compact"/>
                          <w:jc w:val="right"/>
                          <w:jc w:val="center"/>
                          <w:jc w:val="left"/>
                        </w:pPr>
                        <w:r>
                          <w:t xml:space="preserve">0.767</w:t>
                        </w:r>
                      </w:p>
                    </w:tc>
                    <w:tc>
                      <w:tcPr/>
                      <w:p>
                        <w:pPr>
                          <w:pStyle w:val="Compact"/>
                          <w:jc w:val="right"/>
                          <w:jc w:val="center"/>
                          <w:jc w:val="left"/>
                        </w:pPr>
                        <w:r>
                          <w:t xml:space="preserve">0.059</w:t>
                        </w:r>
                      </w:p>
                    </w:tc>
                  </w:tr>
                </w:tbl>
                <w:bookmarkEnd w:id="87"/>
                <w:bookmarkEnd w:id="88"/>
                <w:p/>
              </w:tc>
            </w:tr>
          </w:tbl>
          <w:p/>
        </w:tc>
      </w:tr>
    </w:tbl>
    <w:p>
      <w:pPr>
        <w:pStyle w:val="BodyText"/>
      </w:pPr>
      <w:pPr>
        <w:spacing w:before="200"/>
        <w:pStyle w:val="ImageCaption"/>
      </w:pPr>
      <w:r>
        <w:t xml:space="preserve">Table 3:</w:t>
      </w:r>
      <w:r>
        <w:t xml:space="preserve"> </w:t>
      </w:r>
      <w:r>
        <w:t xml:space="preserve">不一致率・追加率の概要 Summaries of unmatch and addition rates</w:t>
      </w:r>
    </w:p>
    <w:bookmarkEnd w:id="89"/>
    <w:bookmarkStart w:id="96" w:name="不一致率の高い対訳"/>
    <w:p>
      <w:pPr>
        <w:pStyle w:val="Heading3"/>
      </w:pPr>
      <w:r>
        <w:t xml:space="preserve">不一致率の高い対訳</w:t>
      </w:r>
    </w:p>
    <w:p>
      <w:pPr>
        <w:pStyle w:val="FirstParagraph"/>
      </w:pPr>
      <w:r>
        <w:t xml:space="preserve">不一致率の高い歌の対訳対において、10 人の現代語訳に共通して欠落がみられたのは「序詞」「枕詞」「まわりくどい言い回し」の 3 種類あった。訳者の幾人かは意識的に「序詞」「枕詞」を訳さないで放置していることが観測された。例えば、</w:t>
      </w:r>
      <w:r>
        <w:t xml:space="preserve">松田 (1968)</w:t>
      </w:r>
      <w:r>
        <w:t xml:space="preserve"> </w:t>
      </w:r>
      <w:r>
        <w:t xml:space="preserve">の現代語訳では、4 首は現代語訳の方がもとの歌より短くなっている。MTD (173) と MTD (665) の訳においては、枕詞「ひさかたの」「みつしほの」は省略されている。MTD (684) の MTD (697) の訳においては、枕詞も序詞も省略されている。これらの歌は当然不一致率も高い。特に、MTD (697) はもとの和歌よりもずっと短い</w:t>
      </w:r>
      <w:r>
        <w:rPr>
          <w:rStyle w:val="FootnoteReference"/>
        </w:rPr>
        <w:footnoteReference w:id="90"/>
      </w:r>
      <w:r>
        <w:t xml:space="preserve">。MTD (697) では大和の枕詞「敷島の」が省略されている。元の歌は、「頃も」と「衣」が掛詞になっているが、その「衣」に掛かっていく序詞も省略されている。</w:t>
      </w:r>
    </w:p>
    <w:tbl>
      <w:tblPr>
        <w:tblStyle w:val="Table"/>
        <w:tblW w:type="pct" w:w="5000"/>
        <w:jc w:val="left"/>
        <w:tblLayout w:type="fixed"/>
        <w:tblLook w:firstRow="0" w:lastRow="0" w:firstColumn="0" w:lastColumn="0" w:noHBand="0" w:noVBand="0" w:val="0000"/>
      </w:tblPr>
      <w:tblGrid>
        <w:gridCol w:w="7920"/>
      </w:tblGrid>
      <w:tr>
        <w:tc>
          <w:tcPr/>
          <w:bookmarkStart w:id="95" w:name="fig-mtd-697"/>
          <w:p>
            <w:pPr>
              <w:pStyle w:val="Compact"/>
              <w:jc w:val="center"/>
            </w:pPr>
            <w:r>
              <w:drawing>
                <wp:inline>
                  <wp:extent cx="2124075" cy="352425"/>
                  <wp:effectExtent b="0" l="0" r="0" t="0"/>
                  <wp:docPr descr="" title="" id="92" name="Picture"/>
                  <a:graphic>
                    <a:graphicData uri="http://schemas.openxmlformats.org/drawingml/2006/picture">
                      <pic:pic>
                        <pic:nvPicPr>
                          <pic:cNvPr descr="./figures/matsuda-697.svg" id="93" name="Picture"/>
                          <pic:cNvPicPr>
                            <a:picLocks noChangeArrowheads="1" noChangeAspect="1"/>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1"/>
                              </a:ext>
                            </a:extLst>
                          </a:blip>
                          <a:stretch>
                            <a:fillRect/>
                          </a:stretch>
                        </pic:blipFill>
                        <pic:spPr bwMode="auto">
                          <a:xfrm>
                            <a:off x="0" y="0"/>
                            <a:ext cx="2124075" cy="352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w:r>
              <w:t xml:space="preserve">697 番歌の</w:t>
            </w:r>
            <w:r>
              <w:t xml:space="preserve"> </w:t>
            </w:r>
            <w:r>
              <w:t xml:space="preserve">松田 (1968)</w:t>
            </w:r>
            <w:r>
              <w:t xml:space="preserve"> </w:t>
            </w:r>
            <w:r>
              <w:t xml:space="preserve">による現代語訳：アライメントの結果を書き換えている；「しきしまのやまとにはあらぬからころも」が省略されている。Contemporary translation of Poem #697 by</w:t>
            </w:r>
            <w:r>
              <w:t xml:space="preserve"> </w:t>
            </w:r>
            <w:r>
              <w:t xml:space="preserve">松田 (1968)</w:t>
            </w:r>
            <w:r>
              <w:t xml:space="preserve">: The alignment has been revised; the</w:t>
            </w:r>
            <w:r>
              <w:t xml:space="preserve"> </w:t>
            </w:r>
            <w:r>
              <w:rPr>
                <w:i/>
                <w:iCs/>
              </w:rPr>
              <w:t xml:space="preserve">jokotoba</w:t>
            </w:r>
            <w:r>
              <w:t xml:space="preserve"> </w:t>
            </w:r>
            <w:r>
              <w:t xml:space="preserve">“</w:t>
            </w:r>
            <w:r>
              <w:t xml:space="preserve">Shikishima no Yamato ni wa aranu kara koromo</w:t>
            </w:r>
            <w:r>
              <w:t xml:space="preserve">”</w:t>
            </w:r>
            <w:r>
              <w:t xml:space="preserve"> </w:t>
            </w:r>
            <w:r>
              <w:t xml:space="preserve">has been omitted.</w:t>
            </w:r>
          </w:p>
          <w:bookmarkEnd w:id="95"/>
        </w:tc>
      </w:tr>
    </w:tbl>
    <w:p>
      <w:pPr>
        <w:pStyle w:val="BodyText"/>
      </w:pPr>
      <w:r>
        <w:t xml:space="preserve">和歌と現代語訳の間にある回りくどい表現の不一致は、翻訳における「欠落」というより本稿の一致の探し方（アルゴリズムとして一対一で探索する）に課題が存在しているといえるが、一例をとりあげる。OKMR (#346) は、奥村の現代語訳は和歌の語をほとんど使わず、あえてつぎのように回りくどい表現を使っている：</w:t>
      </w:r>
    </w:p>
    <w:p>
      <w:pPr>
        <w:pStyle w:val="Compact"/>
        <w:numPr>
          <w:ilvl w:val="0"/>
          <w:numId w:val="1012"/>
        </w:numPr>
      </w:pPr>
      <w:r>
        <w:t xml:space="preserve">「とりそへて」=「さらにそえて」</w:t>
      </w:r>
    </w:p>
    <w:p>
      <w:pPr>
        <w:pStyle w:val="Compact"/>
        <w:numPr>
          <w:ilvl w:val="0"/>
          <w:numId w:val="1012"/>
        </w:numPr>
      </w:pPr>
      <w:r>
        <w:t xml:space="preserve">「とどめおきて」=「のこしておきましょう」</w:t>
      </w:r>
    </w:p>
    <w:p>
      <w:pPr>
        <w:pStyle w:val="FirstParagraph"/>
      </w:pPr>
      <w:r>
        <w:t xml:space="preserve">特に整列法は、このような歌をうまくアライメントできなかった。</w:t>
      </w:r>
    </w:p>
    <w:bookmarkEnd w:id="96"/>
    <w:bookmarkStart w:id="102" w:name="追加率の高い対訳"/>
    <w:p>
      <w:pPr>
        <w:pStyle w:val="Heading3"/>
      </w:pPr>
      <w:r>
        <w:t xml:space="preserve">追加率の高い対訳</w:t>
      </w:r>
    </w:p>
    <w:p>
      <w:pPr>
        <w:pStyle w:val="FirstParagraph"/>
      </w:pPr>
      <w:r>
        <w:t xml:space="preserve">MTD (#629) は追加率が高い訳のひとつである。この歌は「あやなし」「まだき」などの古語、「なくに」のような現代語には使われない語法が含まれている。これらの語は、現代語と分類語彙表番号で対応づけることができなかった。</w:t>
      </w:r>
      <w:r>
        <w:t xml:space="preserve"> </w:t>
      </w:r>
      <w:r>
        <w:t xml:space="preserve">また「名の</w:t>
      </w:r>
      <w:r>
        <w:rPr>
          <w:b/>
          <w:bCs/>
        </w:rPr>
        <w:t xml:space="preserve">たつ</w:t>
      </w:r>
      <w:r>
        <w:t xml:space="preserve">」と「</w:t>
      </w:r>
      <w:r>
        <w:rPr>
          <w:b/>
          <w:bCs/>
        </w:rPr>
        <w:t xml:space="preserve">たつ</w:t>
      </w:r>
      <w:r>
        <w:t xml:space="preserve">たがは」の掛詞も存在する。</w:t>
      </w:r>
    </w:p>
    <w:p>
      <w:pPr>
        <w:pStyle w:val="BodyText"/>
      </w:pPr>
      <w:r>
        <w:t xml:space="preserve">追加率の平均値上位 10 首のうち、ほかにも 705 番歌、669 番歌、617 番歌など追加率の高かった和歌がある。705 番歌は「身」と「雨」に「降（経）る」の掛詞が含まれている。669 番歌と617番歌は、それぞれ「海藻目」と「ながめ」の掛詞がある。掛詞を含む歌が典型的であった。</w:t>
      </w:r>
    </w:p>
    <w:tbl>
      <w:tblPr>
        <w:tblStyle w:val="Table"/>
        <w:tblW w:type="pct" w:w="5000"/>
        <w:jc w:val="left"/>
        <w:tblLayout w:type="fixed"/>
        <w:tblLook w:firstRow="0" w:lastRow="0" w:firstColumn="0" w:lastColumn="0" w:noHBand="0" w:noVBand="0" w:val="0000"/>
      </w:tblPr>
      <w:tblGrid>
        <w:gridCol w:w="7920"/>
      </w:tblGrid>
      <w:tr>
        <w:tc>
          <w:tcPr/>
          <w:bookmarkStart w:id="101" w:name="fig-mtd-629"/>
          <w:p>
            <w:pPr>
              <w:pStyle w:val="Compact"/>
              <w:jc w:val="center"/>
            </w:pPr>
            <w:r>
              <w:drawing>
                <wp:inline>
                  <wp:extent cx="2400300" cy="923925"/>
                  <wp:effectExtent b="0" l="0" r="0" t="0"/>
                  <wp:docPr descr="" title="" id="98" name="Picture"/>
                  <a:graphic>
                    <a:graphicData uri="http://schemas.openxmlformats.org/drawingml/2006/picture">
                      <pic:pic>
                        <pic:nvPicPr>
                          <pic:cNvPr descr="./figures/matsuda-629.svg" id="99" name="Picture"/>
                          <pic:cNvPicPr>
                            <a:picLocks noChangeArrowheads="1" noChangeAspect="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97"/>
                              </a:ext>
                            </a:extLst>
                          </a:blip>
                          <a:stretch>
                            <a:fillRect/>
                          </a:stretch>
                        </pic:blipFill>
                        <pic:spPr bwMode="auto">
                          <a:xfrm>
                            <a:off x="0" y="0"/>
                            <a:ext cx="2400300" cy="923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629 番歌の</w:t>
            </w:r>
            <w:r>
              <w:t xml:space="preserve"> </w:t>
            </w:r>
            <w:r>
              <w:t xml:space="preserve">松田 (1968)</w:t>
            </w:r>
            <w:r>
              <w:t xml:space="preserve"> </w:t>
            </w:r>
            <w:r>
              <w:t xml:space="preserve">による現代語訳：アライメントの結果を書き換えている Contemporary translation of Poem #629 by</w:t>
            </w:r>
            <w:r>
              <w:t xml:space="preserve"> </w:t>
            </w:r>
            <w:r>
              <w:t xml:space="preserve">松田 (1968)</w:t>
            </w:r>
            <w:r>
              <w:t xml:space="preserve">: The alignment results have been modified.</w:t>
            </w:r>
          </w:p>
          <w:bookmarkEnd w:id="101"/>
        </w:tc>
      </w:tr>
    </w:tbl>
    <w:bookmarkEnd w:id="102"/>
    <w:bookmarkEnd w:id="103"/>
    <w:bookmarkStart w:id="119" w:name="翻訳アプローチによる追加率の差"/>
    <w:p>
      <w:pPr>
        <w:pStyle w:val="Heading2"/>
      </w:pPr>
      <w:r>
        <w:t xml:space="preserve">3.3 翻訳アプローチによる追加率の差</w:t>
      </w:r>
    </w:p>
    <w:p>
      <w:pPr>
        <w:pStyle w:val="FirstParagraph"/>
      </w:pPr>
      <w:r>
        <w:t xml:space="preserve">本節では、統計モデリングを用いた翻訳アプローチによる追加率の差を検証する。モデルの推定した効果のいずれの</w:t>
      </w:r>
      <w:r>
        <w:t xml:space="preserve"> </w:t>
      </w:r>
      <m:oMath>
        <m:acc>
          <m:accPr>
            <m:chr m:val="̂"/>
          </m:accPr>
          <m:e>
            <m:r>
              <m:t>R</m:t>
            </m:r>
          </m:e>
        </m:acc>
      </m:oMath>
      <w:r>
        <w:t xml:space="preserve"> </w:t>
      </w:r>
      <w:r>
        <w:t xml:space="preserve">も 1 になっており、1.1 を下回り収束が良好であると示した</w:t>
      </w:r>
      <w:r>
        <w:t xml:space="preserve"> </w:t>
      </w:r>
      <w:r>
        <w:t xml:space="preserve">(Brooks and Gelman 1998)</w:t>
      </w:r>
      <w:r>
        <w:t xml:space="preserve">。検証したい効果について、ESS がすべて 2000 程度を達した。</w:t>
      </w:r>
    </w:p>
    <w:bookmarkStart w:id="113" w:name="翻訳アプローチによる追加率の相違が小さい"/>
    <w:p>
      <w:pPr>
        <w:pStyle w:val="Heading3"/>
      </w:pPr>
      <w:r>
        <w:t xml:space="preserve">翻訳アプローチによる追加率の相違が小さい</w:t>
      </w:r>
    </w:p>
    <w:p>
      <w:pPr>
        <w:pStyle w:val="FirstParagraph"/>
      </w:pPr>
      <w:hyperlink w:anchor="fig-poster">
        <w:r>
          <w:rPr>
            <w:rStyle w:val="Hyperlink"/>
          </w:rPr>
          <w:t xml:space="preserve">Figure 6</w:t>
        </w:r>
      </w:hyperlink>
      <w:r>
        <w:t xml:space="preserve"> </w:t>
      </w:r>
      <w:r>
        <w:t xml:space="preserve">は翻訳アプローチごとの追加率の事後分布である。この図から、以下の情報が得られらた。</w:t>
      </w:r>
    </w:p>
    <w:p>
      <w:pPr>
        <w:numPr>
          <w:ilvl w:val="0"/>
          <w:numId w:val="1013"/>
        </w:numPr>
      </w:pPr>
      <w:r>
        <w:t xml:space="preserve">追加率は、翻訳アプローチを問わず 現代語訳の要素の 50% 前後が、追加的な要素であることがわかった。この点は、観測データからも確認された。</w:t>
      </w:r>
    </w:p>
    <w:p>
      <w:pPr>
        <w:numPr>
          <w:ilvl w:val="0"/>
          <w:numId w:val="1013"/>
        </w:numPr>
      </w:pPr>
      <w:r>
        <w:t xml:space="preserve">翻訳アプローチグループで比較した結果、2 グループの差の事後分布の 95% の CrI はすべて 0 をカバーしており、それぞれの 2 群の追加率は異なることが認められなかった。</w:t>
      </w:r>
      <w:r>
        <w:t xml:space="preserve"> </w:t>
      </w:r>
      <w:r>
        <w:t xml:space="preserve">傾向としては、</w:t>
      </w:r>
      <w:r>
        <w:rPr>
          <w:rStyle w:val="VerbatimChar"/>
        </w:rPr>
        <w:t xml:space="preserve">Reader-focused</w:t>
      </w:r>
      <w:r>
        <w:t xml:space="preserve"> </w:t>
      </w:r>
      <w:r>
        <w:t xml:space="preserve">群の追加率に比べ</w:t>
      </w:r>
      <w:r>
        <w:t xml:space="preserve"> </w:t>
      </w:r>
      <w:r>
        <w:rPr>
          <w:rStyle w:val="VerbatimChar"/>
        </w:rPr>
        <w:t xml:space="preserve">Other</w:t>
      </w:r>
      <w:r>
        <w:t xml:space="preserve"> </w:t>
      </w:r>
      <w:r>
        <w:t xml:space="preserve">群の追加率が</w:t>
      </w:r>
      <w:r>
        <w:t xml:space="preserve"> </w:t>
      </w:r>
      <m:oMath>
        <m:r>
          <m:rPr>
            <m:sty m:val="p"/>
          </m:rPr>
          <m:t>−</m:t>
        </m:r>
        <m:r>
          <m:t>4</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rPr>
            <m:sty m:val="p"/>
          </m:rPr>
          <m:t>−</m:t>
        </m:r>
        <m:r>
          <m:t>0.04</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0.13</m:t>
            </m:r>
            <m:r>
              <m:rPr>
                <m:sty m:val="p"/>
              </m:rPr>
              <m:t>,</m:t>
            </m:r>
            <m:r>
              <m:t>0.05</m:t>
            </m:r>
          </m:e>
        </m:d>
      </m:oMath>
      <w:r>
        <w:t xml:space="preserve">,</w:t>
      </w:r>
      <w:r>
        <w:t xml:space="preserve"> </w:t>
      </w:r>
      <m:oMath>
        <m:r>
          <m:t>P</m:t>
        </m:r>
        <m:d>
          <m:dPr>
            <m:begChr m:val="("/>
            <m:endChr m:val=")"/>
            <m:sepChr m:val=""/>
            <m:grow/>
          </m:dPr>
          <m:e>
            <m:r>
              <m:t>Δ</m:t>
            </m:r>
            <m:r>
              <m:rPr>
                <m:sty m:val="p"/>
              </m:rPr>
              <m:t>&gt;</m:t>
            </m:r>
            <m:r>
              <m:t>0</m:t>
            </m:r>
          </m:e>
        </m:d>
        <m:r>
          <m:rPr>
            <m:sty m:val="p"/>
          </m:rPr>
          <m:t>=</m:t>
        </m:r>
        <m:r>
          <m:t>14</m:t>
        </m:r>
        <m:r>
          <m:rPr>
            <m:sty m:val="p"/>
          </m:rPr>
          <m:t>%</m:t>
        </m:r>
      </m:oMath>
      <w:r>
        <w:t xml:space="preserve">)。</w:t>
      </w:r>
      <w:r>
        <w:rPr>
          <w:rStyle w:val="VerbatimChar"/>
        </w:rPr>
        <w:t xml:space="preserve">Reader-focused</w:t>
      </w:r>
      <w:r>
        <w:t xml:space="preserve"> </w:t>
      </w:r>
      <w:r>
        <w:t xml:space="preserve">群の追加率は、</w:t>
      </w:r>
      <w:r>
        <w:rPr>
          <w:rStyle w:val="VerbatimChar"/>
        </w:rPr>
        <w:t xml:space="preserve">Poet-focused</w:t>
      </w:r>
      <w:r>
        <w:t xml:space="preserve"> </w:t>
      </w:r>
      <w:r>
        <w:t xml:space="preserve">群より</w:t>
      </w:r>
      <w:r>
        <w:t xml:space="preserve"> </w:t>
      </w:r>
      <m:oMath>
        <m:r>
          <m:t>6</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t>0.06</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0.03</m:t>
            </m:r>
            <m:r>
              <m:rPr>
                <m:sty m:val="p"/>
              </m:rPr>
              <m:t>,</m:t>
            </m:r>
            <m:r>
              <m:t>0.16</m:t>
            </m:r>
          </m:e>
        </m:d>
      </m:oMath>
      <w:r>
        <w:t xml:space="preserve">,</w:t>
      </w:r>
      <w:r>
        <w:t xml:space="preserve"> </w:t>
      </w:r>
      <m:oMath>
        <m:r>
          <m:t>P</m:t>
        </m:r>
        <m:d>
          <m:dPr>
            <m:begChr m:val="("/>
            <m:endChr m:val=")"/>
            <m:sepChr m:val=""/>
            <m:grow/>
          </m:dPr>
          <m:e>
            <m:r>
              <m:t>Δ</m:t>
            </m:r>
            <m:r>
              <m:rPr>
                <m:sty m:val="p"/>
              </m:rPr>
              <m:t>&gt;</m:t>
            </m:r>
            <m:r>
              <m:t>0</m:t>
            </m:r>
          </m:e>
        </m:d>
        <m:r>
          <m:rPr>
            <m:sty m:val="p"/>
          </m:rPr>
          <m:t>=</m:t>
        </m:r>
        <m:r>
          <m:t>91.6</m:t>
        </m:r>
        <m:r>
          <m:rPr>
            <m:sty m:val="p"/>
          </m:rPr>
          <m:t>%</m:t>
        </m:r>
      </m:oMath>
      <w:r>
        <w:t xml:space="preserve">) ことが観測されているが、傾向差の基準を満さなかった。</w:t>
      </w:r>
    </w:p>
    <w:tbl>
      <w:tblPr>
        <w:tblStyle w:val="Table"/>
        <w:tblW w:type="pct" w:w="5000"/>
        <w:jc w:val="left"/>
        <w:tblLayout w:type="fixed"/>
        <w:tblLook w:firstRow="0" w:lastRow="0" w:firstColumn="0" w:lastColumn="0" w:noHBand="0" w:noVBand="0" w:val="0000"/>
      </w:tblPr>
      <w:tblGrid>
        <w:gridCol w:w="7920"/>
      </w:tblGrid>
      <w:tr>
        <w:tc>
          <w:tcPr/>
          <w:bookmarkStart w:id="112" w:name="fig-poster"/>
          <w:tbl>
            <w:tblPr>
              <w:tblStyle w:val="Table"/>
              <w:tblW w:type="pct" w:w="5000"/>
              <w:jc w:val="left"/>
              <w:tblLayout w:type="fixed"/>
              <w:tblLook w:firstRow="0" w:lastRow="0" w:firstColumn="0" w:lastColumn="0" w:noHBand="0" w:noVBand="0" w:val="0000"/>
            </w:tblPr>
            <w:tblGrid>
              <w:gridCol w:w="7920"/>
            </w:tblGrid>
            <w:tr>
              <w:tc>
                <w:tcPr/>
                <w:bookmarkStart w:id="107" w:name="fig-poster-1"/>
                <w:p>
                  <w:pPr>
                    <w:pStyle w:val="Compact"/>
                    <w:jc w:val="center"/>
                    <w:jc w:val="center"/>
                  </w:pPr>
                  <w:r>
                    <w:drawing>
                      <wp:inline>
                        <wp:extent cx="5334000" cy="3296708"/>
                        <wp:effectExtent b="0" l="0" r="0" t="0"/>
                        <wp:docPr descr="" title="" id="105" name="Picture"/>
                        <a:graphic>
                          <a:graphicData uri="http://schemas.openxmlformats.org/drawingml/2006/picture">
                            <pic:pic>
                              <pic:nvPicPr>
                                <pic:cNvPr descr="main_files/figure-docx/fig-poster-1.png" id="106" name="Picture"/>
                                <pic:cNvPicPr>
                                  <a:picLocks noChangeArrowheads="1" noChangeAspect="1"/>
                                </pic:cNvPicPr>
                              </pic:nvPicPr>
                              <pic:blipFill>
                                <a:blip r:embed="rId104"/>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予測された各翻訳アプローチの追加率の事後分布 Posterior distribution of addition rates for each translation approach</w:t>
                  </w:r>
                </w:p>
                <w:bookmarkEnd w:id="107"/>
              </w:tc>
            </w:tr>
          </w:tbl>
          <w:tbl>
            <w:tblPr>
              <w:tblStyle w:val="Table"/>
              <w:tblW w:type="pct" w:w="5000"/>
              <w:jc w:val="left"/>
              <w:tblLayout w:type="fixed"/>
              <w:tblLook w:firstRow="0" w:lastRow="0" w:firstColumn="0" w:lastColumn="0" w:noHBand="0" w:noVBand="0" w:val="0000"/>
            </w:tblPr>
            <w:tblGrid>
              <w:gridCol w:w="7920"/>
            </w:tblGrid>
            <w:tr>
              <w:tc>
                <w:tcPr/>
                <w:bookmarkStart w:id="111" w:name="fig-poster-2"/>
                <w:p>
                  <w:pPr>
                    <w:pStyle w:val="Compact"/>
                    <w:jc w:val="center"/>
                    <w:jc w:val="center"/>
                  </w:pPr>
                  <w:r>
                    <w:drawing>
                      <wp:inline>
                        <wp:extent cx="5334000" cy="3296708"/>
                        <wp:effectExtent b="0" l="0" r="0" t="0"/>
                        <wp:docPr descr="" title="" id="109" name="Picture"/>
                        <a:graphic>
                          <a:graphicData uri="http://schemas.openxmlformats.org/drawingml/2006/picture">
                            <pic:pic>
                              <pic:nvPicPr>
                                <pic:cNvPr descr="main_files/figure-docx/fig-poster-2.png" id="110" name="Picture"/>
                                <pic:cNvPicPr>
                                  <a:picLocks noChangeArrowheads="1" noChangeAspect="1"/>
                                </pic:cNvPicPr>
                              </pic:nvPicPr>
                              <pic:blipFill>
                                <a:blip r:embed="rId108"/>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予測された翻訳アプローチによる追加率の相違の事後分布 Posterior distribution of differences in addition rates by translation approach</w:t>
                  </w:r>
                </w:p>
                <w:bookmarkEnd w:id="111"/>
              </w:tc>
            </w:tr>
          </w:tbl>
          <w:p>
            <w:pPr>
              <w:jc w:val="center"/>
            </w:pPr>
            <w:pPr>
              <w:jc w:val="start"/>
              <w:spacing w:before="200"/>
              <w:pStyle w:val="ImageCaption"/>
            </w:pPr>
            <w:r>
              <w:t xml:space="preserve">Figure 6:</w:t>
            </w:r>
            <w:r>
              <w:t xml:space="preserve"> </w:t>
            </w:r>
            <w:r>
              <w:t xml:space="preserve">予測された追加率の事後分布 Posterior distribution of addition rates</w:t>
            </w:r>
          </w:p>
          <w:bookmarkEnd w:id="112"/>
        </w:tc>
      </w:tr>
    </w:tbl>
    <w:bookmarkEnd w:id="113"/>
    <w:bookmarkStart w:id="118" w:name="訳者による追加率の変動より歌による変動のほうが大きい"/>
    <w:p>
      <w:pPr>
        <w:pStyle w:val="Heading3"/>
      </w:pPr>
      <w:r>
        <w:t xml:space="preserve">訳者による追加率の変動より歌による変動のほうが大きい</w:t>
      </w:r>
    </w:p>
    <w:p>
      <w:pPr>
        <w:pStyle w:val="FirstParagraph"/>
      </w:pPr>
      <w:r>
        <w:t xml:space="preserve">階層モデリングにおいて、訳者と歌をランダム切片としてモデル化している。訳者グループと歌グループがそれぞれ共有していると仮定した正規分布のパラメータである標準偏差の事後分布を可視化した</w:t>
      </w:r>
      <w:r>
        <w:t xml:space="preserve"> </w:t>
      </w:r>
      <w:hyperlink w:anchor="fig-hyperparameter">
        <w:r>
          <w:rPr>
            <w:rStyle w:val="Hyperlink"/>
          </w:rPr>
          <w:t xml:space="preserve">Figure 7</w:t>
        </w:r>
      </w:hyperlink>
      <w:r>
        <w:t xml:space="preserve">。訳者グループの標準偏差の分布が歌グループのより左寄りでであった。訳者の間の変動よりも、歌の間の変動のほうが大きいことが伺える。つまり、ランダム効果の視点からは、歌が訳者に比べ追加率の変動に寄与していると考えられる。</w:t>
      </w:r>
    </w:p>
    <w:tbl>
      <w:tblPr>
        <w:tblStyle w:val="Table"/>
        <w:tblW w:type="pct" w:w="5000"/>
        <w:jc w:val="left"/>
        <w:tblLayout w:type="fixed"/>
        <w:tblLook w:firstRow="0" w:lastRow="0" w:firstColumn="0" w:lastColumn="0" w:noHBand="0" w:noVBand="0" w:val="0000"/>
      </w:tblPr>
      <w:tblGrid>
        <w:gridCol w:w="7920"/>
      </w:tblGrid>
      <w:tr>
        <w:tc>
          <w:tcPr/>
          <w:bookmarkStart w:id="117" w:name="fig-hyperparameter"/>
          <w:p>
            <w:pPr>
              <w:pStyle w:val="Compact"/>
              <w:jc w:val="center"/>
            </w:pPr>
            <w:r>
              <w:drawing>
                <wp:inline>
                  <wp:extent cx="5334000" cy="3296708"/>
                  <wp:effectExtent b="0" l="0" r="0" t="0"/>
                  <wp:docPr descr="" title="" id="115" name="Picture"/>
                  <a:graphic>
                    <a:graphicData uri="http://schemas.openxmlformats.org/drawingml/2006/picture">
                      <pic:pic>
                        <pic:nvPicPr>
                          <pic:cNvPr descr="main_files/figure-docx/fig-hyperparameter-1.png" id="116" name="Picture"/>
                          <pic:cNvPicPr>
                            <a:picLocks noChangeArrowheads="1" noChangeAspect="1"/>
                          </pic:cNvPicPr>
                        </pic:nvPicPr>
                        <pic:blipFill>
                          <a:blip r:embed="rId114"/>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7:</w:t>
            </w:r>
            <w:r>
              <w:t xml:space="preserve"> </w:t>
            </w:r>
            <w:r>
              <w:t xml:space="preserve">グループレベルのハイパーパラメータの事後分布 Posterior distribution of group-level hyperparameters</w:t>
            </w:r>
          </w:p>
          <w:bookmarkEnd w:id="117"/>
        </w:tc>
      </w:tr>
    </w:tbl>
    <w:bookmarkEnd w:id="118"/>
    <w:bookmarkEnd w:id="119"/>
    <w:bookmarkStart w:id="135" w:name="番立田歌の訳の事例分析"/>
    <w:p>
      <w:pPr>
        <w:pStyle w:val="Heading2"/>
      </w:pPr>
      <w:r>
        <w:t xml:space="preserve">3.4 298 番「立田」歌の訳の事例分析</w:t>
      </w:r>
    </w:p>
    <w:p>
      <w:pPr>
        <w:pStyle w:val="FirstParagraph"/>
      </w:pPr>
      <w:r>
        <w:t xml:space="preserve">298 番「立田」の歌についての事例分析は、アライメントを示しながら進める。</w:t>
      </w:r>
    </w:p>
    <w:p>
      <w:pPr>
        <w:pStyle w:val="BodyText"/>
      </w:pPr>
      <w:r>
        <w:t xml:space="preserve">298 番歌の不一致率、翻訳における追加率のまとめは</w:t>
      </w:r>
      <w:r>
        <w:t xml:space="preserve"> </w:t>
      </w:r>
      <w:hyperlink w:anchor="tbl-tatsuta-review">
        <w:r>
          <w:rPr>
            <w:rStyle w:val="Hyperlink"/>
          </w:rPr>
          <w:t xml:space="preserve">Table 4</w:t>
        </w:r>
      </w:hyperlink>
      <w:r>
        <w:t xml:space="preserve"> </w:t>
      </w:r>
      <w:r>
        <w:t xml:space="preserve">に提示している。ここでの計算は整列法の結果である。歌のトークン数 19 の内、アライメントの 2 語対が一致する数が、OZW 以外に 14 を越えた。OZW はやはり、文の入れ替えを行っているため、うまくアライメントができなかった。原文の要素の不一致率が低い水準にキープされており、訳における追加率は OZW を取り除き 50% – 70% になっていた。1 語あたり 1.5 – 1.7 語で訳されていた。アライメントはプログラム出力を修正した上で</w:t>
      </w:r>
      <w:r>
        <w:t xml:space="preserve"> </w:t>
      </w:r>
      <w:hyperlink w:anchor="fig-alignment">
        <w:r>
          <w:rPr>
            <w:rStyle w:val="Hyperlink"/>
          </w:rPr>
          <w:t xml:space="preserve">Figure 8</w:t>
        </w:r>
      </w:hyperlink>
      <w:r>
        <w:t xml:space="preserve"> </w:t>
      </w:r>
      <w:r>
        <w:t xml:space="preserve">に整理した。修正前の出力は補足資料を参照されたい。さて、どのような追加要素になっているか確認していく。</w:t>
      </w:r>
    </w:p>
    <w:tbl>
      <w:tblPr>
        <w:tblStyle w:val="Table"/>
        <w:tblW w:type="pct" w:w="5000"/>
        <w:jc w:val="left"/>
        <w:tblLayout w:type="fixed"/>
        <w:tblLook w:firstRow="0" w:lastRow="0" w:firstColumn="0" w:lastColumn="0" w:noHBand="0" w:noVBand="0" w:val="0000"/>
      </w:tblPr>
      <w:tblGrid>
        <w:gridCol w:w="7920"/>
      </w:tblGrid>
      <w:tr>
        <w:tc>
          <w:tcPr/>
          <w:bookmarkStart w:id="120" w:name="tbl-tatsuta-review"/>
          <w:p>
            <w:pPr>
              <w:jc w:val="center"/>
            </w:pPr>
            <w:pPr>
              <w:jc w:val="start"/>
              <w:spacing w:before="200"/>
              <w:pStyle w:val="ImageCaption"/>
            </w:pPr>
            <w:r>
              <w:t xml:space="preserve">Table 4:</w:t>
            </w:r>
            <w:r>
              <w:t xml:space="preserve"> </w:t>
            </w:r>
            <w:r>
              <w:t xml:space="preserve">「立田」歌 298 番の現代語訳の不一致率・追加率の概要 Overview of unmatch and addition rates in contemporary translations of</w:t>
            </w:r>
            <w:r>
              <w:t xml:space="preserve"> </w:t>
            </w:r>
            <w:r>
              <w:t xml:space="preserve">“</w:t>
            </w:r>
            <w:r>
              <w:t xml:space="preserve">Tatsuta</w:t>
            </w:r>
            <w:r>
              <w:t xml:space="preserve">”</w:t>
            </w:r>
            <w:r>
              <w:t xml:space="preserve"> </w:t>
            </w:r>
            <w:r>
              <w:t xml:space="preserve">Poem</w:t>
            </w:r>
          </w:p>
          <w:tbl>
            <w:tblPr>
              <w:tblStyle w:val="Table"/>
              <w:tblW w:type="auto" w:w="0"/>
              <w:jc w:val="left"/>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Translator</w:t>
                  </w:r>
                </w:p>
              </w:tc>
              <w:tc>
                <w:tcPr/>
                <w:p>
                  <w:pPr>
                    <w:pStyle w:val="Compact"/>
                    <w:jc w:val="left"/>
                    <w:jc w:val="center"/>
                  </w:pPr>
                  <w:r>
                    <w:t xml:space="preserve">PoemID</w:t>
                  </w:r>
                </w:p>
              </w:tc>
              <w:tc>
                <w:tcPr/>
                <w:p>
                  <w:pPr>
                    <w:pStyle w:val="Compact"/>
                    <w:jc w:val="left"/>
                    <w:jc w:val="center"/>
                  </w:pPr>
                  <w:r>
                    <w:t xml:space="preserve">Method</w:t>
                  </w:r>
                </w:p>
              </w:tc>
              <w:tc>
                <w:tcPr/>
                <w:p>
                  <w:pPr>
                    <w:pStyle w:val="Compact"/>
                    <w:jc w:val="right"/>
                    <w:jc w:val="center"/>
                  </w:pPr>
                  <w:r>
                    <w:t xml:space="preserve">TotalMatch</w:t>
                  </w:r>
                </w:p>
              </w:tc>
              <w:tc>
                <w:tcPr/>
                <w:p>
                  <w:pPr>
                    <w:pStyle w:val="Compact"/>
                    <w:jc w:val="right"/>
                    <w:jc w:val="center"/>
                  </w:pPr>
                  <w:r>
                    <w:t xml:space="preserve">UnmatchRate</w:t>
                  </w:r>
                </w:p>
              </w:tc>
              <w:tc>
                <w:tcPr/>
                <w:p>
                  <w:pPr>
                    <w:pStyle w:val="Compact"/>
                    <w:jc w:val="right"/>
                    <w:jc w:val="center"/>
                  </w:pPr>
                  <w:r>
                    <w:t xml:space="preserve">AdditionRate</w:t>
                  </w:r>
                </w:p>
              </w:tc>
            </w:tr>
            <w:tr>
              <w:tc>
                <w:tcPr/>
                <w:p>
                  <w:pPr>
                    <w:pStyle w:val="Compact"/>
                    <w:jc w:val="left"/>
                    <w:jc w:val="center"/>
                  </w:pPr>
                  <w:r>
                    <w:t xml:space="preserve">KNK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0.691</w:t>
                  </w:r>
                </w:p>
              </w:tc>
            </w:tr>
            <w:tr>
              <w:tc>
                <w:tcPr/>
                <w:p>
                  <w:pPr>
                    <w:pStyle w:val="Compact"/>
                    <w:jc w:val="left"/>
                    <w:jc w:val="center"/>
                  </w:pPr>
                  <w:r>
                    <w:t xml:space="preserve">KTGR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0.568</w:t>
                  </w:r>
                </w:p>
              </w:tc>
            </w:tr>
            <w:tr>
              <w:tc>
                <w:tcPr/>
                <w:p>
                  <w:pPr>
                    <w:pStyle w:val="Compact"/>
                    <w:jc w:val="left"/>
                    <w:jc w:val="center"/>
                  </w:pPr>
                  <w:r>
                    <w:t xml:space="preserve">K&amp;A</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KMCY</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0.622</w:t>
                  </w:r>
                </w:p>
              </w:tc>
            </w:tr>
            <w:tr>
              <w:tc>
                <w:tcPr/>
                <w:p>
                  <w:pPr>
                    <w:pStyle w:val="Compact"/>
                    <w:jc w:val="left"/>
                    <w:jc w:val="center"/>
                  </w:pPr>
                  <w:r>
                    <w:t xml:space="preserve">KBT</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KSJ</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0.628</w:t>
                  </w:r>
                </w:p>
              </w:tc>
            </w:tr>
            <w:tr>
              <w:tc>
                <w:tcPr/>
                <w:p>
                  <w:pPr>
                    <w:pStyle w:val="Compact"/>
                    <w:jc w:val="left"/>
                    <w:jc w:val="center"/>
                  </w:pPr>
                  <w:r>
                    <w:t xml:space="preserve">MTD</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0.562</w:t>
                  </w:r>
                </w:p>
              </w:tc>
            </w:tr>
            <w:tr>
              <w:tc>
                <w:tcPr/>
                <w:p>
                  <w:pPr>
                    <w:pStyle w:val="Compact"/>
                    <w:jc w:val="left"/>
                    <w:jc w:val="center"/>
                  </w:pPr>
                  <w:r>
                    <w:t xml:space="preserve">OKMR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0.682</w:t>
                  </w:r>
                </w:p>
              </w:tc>
            </w:tr>
            <w:tr>
              <w:tc>
                <w:tcPr/>
                <w:p>
                  <w:pPr>
                    <w:pStyle w:val="Compact"/>
                    <w:jc w:val="left"/>
                    <w:jc w:val="center"/>
                  </w:pPr>
                  <w:r>
                    <w:t xml:space="preserve">OZW</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7</w:t>
                  </w:r>
                </w:p>
              </w:tc>
              <w:tc>
                <w:tcPr/>
                <w:p>
                  <w:pPr>
                    <w:pStyle w:val="Compact"/>
                    <w:jc w:val="right"/>
                    <w:jc w:val="center"/>
                  </w:pPr>
                  <w:r>
                    <w:t xml:space="preserve">0.632</w:t>
                  </w:r>
                </w:p>
              </w:tc>
              <w:tc>
                <w:tcPr/>
                <w:p>
                  <w:pPr>
                    <w:pStyle w:val="Compact"/>
                    <w:jc w:val="right"/>
                    <w:jc w:val="center"/>
                  </w:pPr>
                  <w:r>
                    <w:t xml:space="preserve">0.851</w:t>
                  </w:r>
                </w:p>
              </w:tc>
            </w:tr>
            <w:tr>
              <w:tc>
                <w:tcPr/>
                <w:p>
                  <w:pPr>
                    <w:pStyle w:val="Compact"/>
                    <w:jc w:val="left"/>
                    <w:jc w:val="center"/>
                  </w:pPr>
                  <w:r>
                    <w:t xml:space="preserve">TKOK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0.500</w:t>
                  </w:r>
                </w:p>
              </w:tc>
            </w:tr>
          </w:tbl>
          <w:bookmarkEnd w:id="120"/>
          <w:p/>
        </w:tc>
      </w:tr>
    </w:tbl>
    <w:p>
      <w:pPr>
        <w:pStyle w:val="BodyText"/>
      </w:pPr>
      <w:r>
        <w:t xml:space="preserve"> </w:t>
      </w:r>
    </w:p>
    <w:bookmarkStart w:id="131" w:name="fig-alignment"/>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125" w:name="fig-alignment-1"/>
                <w:p>
                  <w:pPr>
                    <w:pStyle w:val="Compact"/>
                    <w:jc w:val="center"/>
                    <w:jc w:val="left"/>
                  </w:pPr>
                  <w:r>
                    <w:drawing>
                      <wp:inline>
                        <wp:extent cx="2971800" cy="2700564"/>
                        <wp:effectExtent b="0" l="0" r="0" t="0"/>
                        <wp:docPr descr="" title="" id="122" name="Picture"/>
                        <a:graphic>
                          <a:graphicData uri="http://schemas.openxmlformats.org/drawingml/2006/picture">
                            <pic:pic>
                              <pic:nvPicPr>
                                <pic:cNvPr descr="./figures/tatsuta-1.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2971800" cy="270056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アライメント（前半）：たつたひめ 手向ける神の あればこそ Alignment (first half): Tatsutahime tamukeru kami no areba koso</w:t>
                  </w:r>
                  <w:r>
                    <w:t xml:space="preserve"> </w:t>
                  </w:r>
                  <w:r>
                    <w:t xml:space="preserve">‘</w:t>
                  </w:r>
                  <w:r>
                    <w:t xml:space="preserve">(There is) the god exits for Tatsutahime to dedicate (things), so that …</w:t>
                  </w:r>
                  <w:r>
                    <w:t xml:space="preserve">’</w:t>
                  </w:r>
                </w:p>
                <w:bookmarkEnd w:id="125"/>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130" w:name="fig-alignment-2"/>
                <w:p>
                  <w:pPr>
                    <w:pStyle w:val="Compact"/>
                    <w:jc w:val="center"/>
                    <w:jc w:val="left"/>
                  </w:pPr>
                  <w:r>
                    <w:drawing>
                      <wp:inline>
                        <wp:extent cx="2971800" cy="1768928"/>
                        <wp:effectExtent b="0" l="0" r="0" t="0"/>
                        <wp:docPr descr="" title="" id="127" name="Picture"/>
                        <a:graphic>
                          <a:graphicData uri="http://schemas.openxmlformats.org/drawingml/2006/picture">
                            <pic:pic>
                              <pic:nvPicPr>
                                <pic:cNvPr descr="./figures/tatsuta-2.svg" id="128" name="Picture"/>
                                <pic:cNvPicPr>
                                  <a:picLocks noChangeArrowheads="1" noChangeAspect="1"/>
                                </pic:cNvPicPr>
                              </pic:nvPicPr>
                              <pic:blipFill>
                                <a:blip r:embed="rId129">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2971800" cy="176892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アライメント（後半）：秋の木の葉の 幣と散るらめ Alignment (second half): aki no konoha no nusa to chiru rame</w:t>
                  </w:r>
                  <w:r>
                    <w:t xml:space="preserve"> </w:t>
                  </w:r>
                  <w:r>
                    <w:t xml:space="preserve">‘</w:t>
                  </w:r>
                  <w:r>
                    <w:t xml:space="preserve">leaves of autumn may be scattered as scared papers (which is dedicated to the god)</w:t>
                  </w:r>
                  <w:r>
                    <w:t xml:space="preserve">’</w:t>
                  </w:r>
                </w:p>
                <w:bookmarkEnd w:id="130"/>
              </w:tc>
            </w:tr>
          </w:tbl>
          <w:p/>
        </w:tc>
      </w:tr>
    </w:tbl>
    <w:p>
      <w:pPr>
        <w:pStyle w:val="BodyText"/>
      </w:pPr>
      <w:pPr>
        <w:spacing w:before="200"/>
        <w:pStyle w:val="ImageCaption"/>
      </w:pPr>
      <w:r>
        <w:t xml:space="preserve">Figure 8:</w:t>
      </w:r>
      <w:r>
        <w:t xml:space="preserve"> </w:t>
      </w:r>
      <w:r>
        <w:t xml:space="preserve">10人の訳者のアライメント（筆者がアライメント推定プログロムの出力を修正して作成）：「【】」は追加と判断する要素である；「（）」は言い換えと判断する要素である。「＊」は、句の順序の入れ替えで対応しうる文・語である。「・」は直訳されていないと判断する要素のプレースホルダーである。 Alignment of translations by 10 translators (the author corrected the output of the alignment estimation program): Elements in</w:t>
      </w:r>
      <w:r>
        <w:t xml:space="preserve"> </w:t>
      </w:r>
      <w:r>
        <w:t xml:space="preserve">“</w:t>
      </w:r>
      <w:r>
        <w:t xml:space="preserve">【】</w:t>
      </w:r>
      <w:r>
        <w:t xml:space="preserve">”</w:t>
      </w:r>
      <w:r>
        <w:t xml:space="preserve"> </w:t>
      </w:r>
      <w:r>
        <w:t xml:space="preserve">are judged as additions, those in</w:t>
      </w:r>
      <w:r>
        <w:t xml:space="preserve"> </w:t>
      </w:r>
      <w:r>
        <w:t xml:space="preserve">“</w:t>
      </w:r>
      <w:r>
        <w:t xml:space="preserve">（ ）</w:t>
      </w:r>
      <w:r>
        <w:t xml:space="preserve">”</w:t>
      </w:r>
      <w:r>
        <w:t xml:space="preserve"> </w:t>
      </w:r>
      <w:r>
        <w:t xml:space="preserve">are considered paraphrases,</w:t>
      </w:r>
      <w:r>
        <w:t xml:space="preserve"> </w:t>
      </w:r>
      <w:r>
        <w:t xml:space="preserve">“</w:t>
      </w:r>
      <w:r>
        <w:t xml:space="preserve">＊</w:t>
      </w:r>
      <w:r>
        <w:t xml:space="preserve">”</w:t>
      </w:r>
      <w:r>
        <w:t xml:space="preserve"> </w:t>
      </w:r>
      <w:r>
        <w:t xml:space="preserve">indicates phrases or words aligned through sentence reordering, and</w:t>
      </w:r>
      <w:r>
        <w:t xml:space="preserve"> </w:t>
      </w:r>
      <w:r>
        <w:t xml:space="preserve">“</w:t>
      </w:r>
      <w:r>
        <w:t xml:space="preserve">・</w:t>
      </w:r>
      <w:r>
        <w:t xml:space="preserve">”</w:t>
      </w:r>
      <w:r>
        <w:t xml:space="preserve"> </w:t>
      </w:r>
      <w:r>
        <w:t xml:space="preserve">represents elements judged not to be translated directly.</w:t>
      </w:r>
    </w:p>
    <w:bookmarkEnd w:id="131"/>
    <w:bookmarkStart w:id="132" w:name="共出現語の訳出"/>
    <w:p>
      <w:pPr>
        <w:pStyle w:val="Heading4"/>
      </w:pPr>
      <w:r>
        <w:t xml:space="preserve">共出現語の訳出</w:t>
      </w:r>
    </w:p>
    <w:p>
      <w:pPr>
        <w:pStyle w:val="FirstParagraph"/>
      </w:pPr>
      <w:r>
        <w:t xml:space="preserve">「立田」のコーパスレベルの共出現語を、内容語の「山」「川」「紅葉づ」「姫」「手向く」「紅葉葉」「神無備」「秋」「幣」「散る」の頻度が高い。298 番歌は典型的な「立田」の歌として、「姫」「手向く」「幣」「秋」を含めている。含まれている語のほとんどが、そのまま訳出されている。298 番には出現しない「紅葉葉」「紅葉づ」などは、298 番歌において「木の葉」が暗示しているため、次のように処理されている：</w:t>
      </w:r>
    </w:p>
    <w:p>
      <w:pPr>
        <w:pStyle w:val="Compact"/>
        <w:numPr>
          <w:ilvl w:val="0"/>
          <w:numId w:val="1014"/>
        </w:numPr>
      </w:pPr>
      <w:r>
        <w:t xml:space="preserve">紅葉した葉 [MTD]</w:t>
      </w:r>
    </w:p>
    <w:p>
      <w:pPr>
        <w:pStyle w:val="Compact"/>
        <w:numPr>
          <w:ilvl w:val="0"/>
          <w:numId w:val="1014"/>
        </w:numPr>
      </w:pPr>
      <w:r>
        <w:t xml:space="preserve">木の葉のもみじ [K&amp;A]</w:t>
      </w:r>
    </w:p>
    <w:p>
      <w:pPr>
        <w:pStyle w:val="Compact"/>
        <w:numPr>
          <w:ilvl w:val="0"/>
          <w:numId w:val="1014"/>
        </w:numPr>
      </w:pPr>
      <w:r>
        <w:t xml:space="preserve">紅葉 [KSJ, OZW, OKMR]</w:t>
      </w:r>
    </w:p>
    <w:p>
      <w:pPr>
        <w:pStyle w:val="FirstParagraph"/>
      </w:pPr>
      <w:r>
        <w:t xml:space="preserve">KBT、TKOK、KNK、KMCY、KTGR は「このは」の処理をしなかった。</w:t>
      </w:r>
    </w:p>
    <w:p>
      <w:pPr>
        <w:pStyle w:val="BodyText"/>
      </w:pPr>
      <w:r>
        <w:t xml:space="preserve">また、コーパスレベルの共出現語「幣」について</w:t>
      </w:r>
    </w:p>
    <w:p>
      <w:pPr>
        <w:pStyle w:val="Compact"/>
        <w:numPr>
          <w:ilvl w:val="0"/>
          <w:numId w:val="1015"/>
        </w:numPr>
      </w:pPr>
      <w:r>
        <w:t xml:space="preserve">【色とりどりの】幣 [OZW]</w:t>
      </w:r>
    </w:p>
    <w:p>
      <w:pPr>
        <w:pStyle w:val="Compact"/>
        <w:numPr>
          <w:ilvl w:val="0"/>
          <w:numId w:val="1015"/>
        </w:numPr>
      </w:pPr>
      <w:r>
        <w:t xml:space="preserve">【手向けの】幣 [KNK]</w:t>
      </w:r>
    </w:p>
    <w:p>
      <w:pPr>
        <w:pStyle w:val="Compact"/>
        <w:numPr>
          <w:ilvl w:val="0"/>
          <w:numId w:val="1015"/>
        </w:numPr>
      </w:pPr>
      <w:r>
        <w:t xml:space="preserve">幣【を撒く】（ように）散（っている） [KTGR]</w:t>
      </w:r>
    </w:p>
    <w:p>
      <w:pPr>
        <w:pStyle w:val="FirstParagraph"/>
      </w:pPr>
      <w:r>
        <w:t xml:space="preserve">のように追加は見られた。ただし、これらの追加が「立田」に帰属させるべきか、判断が難しい一面がある。「幣」に経由して間接的な情報と捉えて妥当であろう。</w:t>
      </w:r>
    </w:p>
    <w:p>
      <w:pPr>
        <w:pStyle w:val="BodyText"/>
      </w:pPr>
      <w:r>
        <w:t xml:space="preserve">基本的に、コーパスレベルにおいて「立田」の共出現要素の処理は、そのまま残す方針か、その他の要素より多く追加する方針かになっていることが伺える。また、「このは」のような共出現ではないものについては、大局的なコロケーションを踏まえ「紅葉」であるとして訳出されるケースが見られた。訳出の方針は、訳者を問わず安定的な翻訳になっている。</w:t>
      </w:r>
    </w:p>
    <w:p>
      <w:pPr>
        <w:pStyle w:val="BodyText"/>
      </w:pPr>
      <w:r>
        <w:t xml:space="preserve">訳と原文の差分において、コーパスレベルの共出現語に関連する重要な情報が見えてくると推測できる。</w:t>
      </w:r>
    </w:p>
    <w:bookmarkEnd w:id="132"/>
    <w:bookmarkStart w:id="133" w:name="構文パターンの訳出"/>
    <w:p>
      <w:pPr>
        <w:pStyle w:val="Heading4"/>
      </w:pPr>
      <w:r>
        <w:t xml:space="preserve">構文パターンの訳出</w:t>
      </w:r>
    </w:p>
    <w:p>
      <w:pPr>
        <w:pStyle w:val="FirstParagraph"/>
      </w:pPr>
      <w:r>
        <w:t xml:space="preserve">共出現する構文パターンとして、終止形で終わる歌の少なさ (古今集 12 首の中で 1 首のみ) が観測されている。特に、古今集の中では、係り結びは 12 首のうち 9 首が観測されている。これら文の終わり方などの構文パターンは、298 番歌の訳における処理について分析した。</w:t>
      </w:r>
    </w:p>
    <w:p>
      <w:pPr>
        <w:pStyle w:val="BodyText"/>
      </w:pPr>
      <w:r>
        <w:t xml:space="preserve">298 番歌の係り結びは、強意の「こそ」と推量の「らむ」の活用形「らめ」で形成されていた。その訳として、10 人の中の 7 人が「こそ」を残しており、さらに 9 人が文末において「強調」の「ノ [であろう・でしょう]」構文を使用している。推量の「らむ」について 9 人が「だろう・でしょう」と訳した。唯一「だろう」で訳さない OZW は「だな」という詠嘆的な口調で訳されている。</w:t>
      </w:r>
      <w:r>
        <w:t xml:space="preserve"> </w:t>
      </w:r>
      <w:r>
        <w:t xml:space="preserve">KBT, K&amp;A は文末にそれぞれ「よ」「ね」の終助詞を追加した。</w:t>
      </w:r>
    </w:p>
    <w:p>
      <w:pPr>
        <w:pStyle w:val="BodyText"/>
      </w:pPr>
      <w:r>
        <w:t xml:space="preserve">典型的な構文パターンとして、その訳出が非常にロバストなものになっていることが確認できた。ほかの係り受けを使わない「立田」歌の翻訳においても、この構文パターンが干渉して追加されているかいなか確認したところ、事例が見当たらなかった。つまり、特徴的な共出現の構文パターンの処理は、少なくともこの歌においては如実な訳であった。</w:t>
      </w:r>
    </w:p>
    <w:p>
      <w:pPr>
        <w:pStyle w:val="BodyText"/>
      </w:pPr>
      <w:r>
        <w:t xml:space="preserve">その他文法的な要素、格助詞の「と」、動詞の基本形式「-u」（例えば「なる」）の訳は、コーパスレベルにおいては「立田」の特徴的の共出現ではないが、分析を試みた。その結果、次のようにそれぞれ多様な訳し方が確認された。</w:t>
      </w:r>
    </w:p>
    <w:p>
      <w:pPr>
        <w:pStyle w:val="BodyText"/>
      </w:pPr>
      <w:r>
        <w:t xml:space="preserve">[…幣]「</w:t>
      </w:r>
      <w:r>
        <w:rPr>
          <w:b/>
          <w:bCs/>
        </w:rPr>
        <w:t xml:space="preserve">と</w:t>
      </w:r>
      <w:r>
        <w:t xml:space="preserve">」：</w:t>
      </w:r>
    </w:p>
    <w:p>
      <w:pPr>
        <w:pStyle w:val="Compact"/>
        <w:numPr>
          <w:ilvl w:val="0"/>
          <w:numId w:val="1016"/>
        </w:numPr>
      </w:pPr>
      <w:r>
        <w:t xml:space="preserve">[…幣を撒く|幣の]</w:t>
      </w:r>
      <w:r>
        <w:rPr>
          <w:b/>
          <w:bCs/>
        </w:rPr>
        <w:t xml:space="preserve">ように</w:t>
      </w:r>
      <w:r>
        <w:t xml:space="preserve"> </w:t>
      </w:r>
      <w:r>
        <w:t xml:space="preserve">[KTGR, KBT, MTD, OKMR, KNK]</w:t>
      </w:r>
    </w:p>
    <w:p>
      <w:pPr>
        <w:pStyle w:val="Compact"/>
        <w:numPr>
          <w:ilvl w:val="0"/>
          <w:numId w:val="1016"/>
        </w:numPr>
      </w:pPr>
      <w:r>
        <w:t xml:space="preserve">[…幣|手向けもの]</w:t>
      </w:r>
      <w:r>
        <w:rPr>
          <w:b/>
          <w:bCs/>
        </w:rPr>
        <w:t xml:space="preserve">として</w:t>
      </w:r>
      <w:r>
        <w:t xml:space="preserve"> </w:t>
      </w:r>
      <w:r>
        <w:t xml:space="preserve">[TKOK, K&amp;A]</w:t>
      </w:r>
    </w:p>
    <w:p>
      <w:pPr>
        <w:pStyle w:val="Compact"/>
        <w:numPr>
          <w:ilvl w:val="0"/>
          <w:numId w:val="1016"/>
        </w:numPr>
      </w:pPr>
      <w:r>
        <w:t xml:space="preserve">[…幣]</w:t>
      </w:r>
      <w:r>
        <w:rPr>
          <w:b/>
          <w:bCs/>
        </w:rPr>
        <w:t xml:space="preserve">となって</w:t>
      </w:r>
      <w:r>
        <w:t xml:space="preserve"> </w:t>
      </w:r>
      <w:r>
        <w:t xml:space="preserve">[KMCY, KSJ, OZW]</w:t>
      </w:r>
    </w:p>
    <w:p>
      <w:pPr>
        <w:pStyle w:val="FirstParagraph"/>
      </w:pPr>
      <w:r>
        <w:t xml:space="preserve">[…散]「</w:t>
      </w:r>
      <w:r>
        <w:rPr>
          <w:b/>
          <w:bCs/>
        </w:rPr>
        <w:t xml:space="preserve">る</w:t>
      </w:r>
      <w:r>
        <w:t xml:space="preserve">」</w:t>
      </w:r>
    </w:p>
    <w:p>
      <w:pPr>
        <w:pStyle w:val="Compact"/>
        <w:numPr>
          <w:ilvl w:val="0"/>
          <w:numId w:val="1017"/>
        </w:numPr>
      </w:pPr>
      <w:r>
        <w:t xml:space="preserve">[散っ]</w:t>
      </w:r>
      <w:r>
        <w:rPr>
          <w:b/>
          <w:bCs/>
        </w:rPr>
        <w:t xml:space="preserve">ている</w:t>
      </w:r>
      <w:r>
        <w:t xml:space="preserve"> </w:t>
      </w:r>
      <w:r>
        <w:t xml:space="preserve">[KTGR, MTD, OKMR, TKOK, KMCY, KSJ, OZW]</w:t>
      </w:r>
    </w:p>
    <w:p>
      <w:pPr>
        <w:pStyle w:val="Compact"/>
        <w:numPr>
          <w:ilvl w:val="0"/>
          <w:numId w:val="1017"/>
        </w:numPr>
      </w:pPr>
      <w:r>
        <w:t xml:space="preserve">[散]</w:t>
      </w:r>
      <w:r>
        <w:rPr>
          <w:b/>
          <w:bCs/>
        </w:rPr>
        <w:t xml:space="preserve">る</w:t>
      </w:r>
      <w:r>
        <w:t xml:space="preserve"> </w:t>
      </w:r>
      <w:r>
        <w:t xml:space="preserve">[KBT, KNK, K&amp;A]</w:t>
      </w:r>
    </w:p>
    <w:p>
      <w:pPr>
        <w:pStyle w:val="FirstParagraph"/>
      </w:pPr>
      <w:r>
        <w:t xml:space="preserve">[…手向け]「</w:t>
      </w:r>
      <w:r>
        <w:rPr>
          <w:b/>
          <w:bCs/>
        </w:rPr>
        <w:t xml:space="preserve">る</w:t>
      </w:r>
      <w:r>
        <w:t xml:space="preserve">」</w:t>
      </w:r>
    </w:p>
    <w:p>
      <w:pPr>
        <w:pStyle w:val="Compact"/>
        <w:numPr>
          <w:ilvl w:val="0"/>
          <w:numId w:val="1018"/>
        </w:numPr>
      </w:pPr>
      <w:r>
        <w:t xml:space="preserve">[…手向けを]</w:t>
      </w:r>
      <w:r>
        <w:rPr>
          <w:b/>
          <w:bCs/>
        </w:rPr>
        <w:t xml:space="preserve">する</w:t>
      </w:r>
      <w:r>
        <w:t xml:space="preserve"> </w:t>
      </w:r>
      <w:r>
        <w:t xml:space="preserve">[KTGR, K&amp;A, KMCY]</w:t>
      </w:r>
    </w:p>
    <w:p>
      <w:pPr>
        <w:pStyle w:val="Compact"/>
        <w:numPr>
          <w:ilvl w:val="0"/>
          <w:numId w:val="1018"/>
        </w:numPr>
      </w:pPr>
      <w:r>
        <w:t xml:space="preserve">[…供え物をささげ|手向け]</w:t>
      </w:r>
      <w:r>
        <w:rPr>
          <w:b/>
          <w:bCs/>
        </w:rPr>
        <w:t xml:space="preserve">る</w:t>
      </w:r>
      <w:r>
        <w:t xml:space="preserve"> </w:t>
      </w:r>
      <w:r>
        <w:t xml:space="preserve">[MTD, TKOK]</w:t>
      </w:r>
    </w:p>
    <w:p>
      <w:pPr>
        <w:pStyle w:val="Compact"/>
        <w:numPr>
          <w:ilvl w:val="0"/>
          <w:numId w:val="1018"/>
        </w:numPr>
      </w:pPr>
      <w:r>
        <w:t xml:space="preserve">[…手向けを|お手向け]</w:t>
      </w:r>
      <w:r>
        <w:rPr>
          <w:b/>
          <w:bCs/>
        </w:rPr>
        <w:t xml:space="preserve">なさる</w:t>
      </w:r>
      <w:r>
        <w:t xml:space="preserve"> </w:t>
      </w:r>
      <w:r>
        <w:t xml:space="preserve">[OKMR, KNK]</w:t>
      </w:r>
    </w:p>
    <w:p>
      <w:pPr>
        <w:pStyle w:val="Compact"/>
        <w:numPr>
          <w:ilvl w:val="0"/>
          <w:numId w:val="1018"/>
        </w:numPr>
      </w:pPr>
      <w:r>
        <w:t xml:space="preserve">[…手向けを]</w:t>
      </w:r>
      <w:r>
        <w:rPr>
          <w:b/>
          <w:bCs/>
        </w:rPr>
        <w:t xml:space="preserve">するべき</w:t>
      </w:r>
      <w:r>
        <w:t xml:space="preserve"> </w:t>
      </w:r>
      <w:r>
        <w:t xml:space="preserve">[KBT]</w:t>
      </w:r>
    </w:p>
    <w:p>
      <w:pPr>
        <w:pStyle w:val="Compact"/>
        <w:numPr>
          <w:ilvl w:val="0"/>
          <w:numId w:val="1018"/>
        </w:numPr>
      </w:pPr>
      <w:r>
        <w:t xml:space="preserve">[…手向け]</w:t>
      </w:r>
      <w:r>
        <w:rPr>
          <w:b/>
          <w:bCs/>
        </w:rPr>
        <w:t xml:space="preserve">られる</w:t>
      </w:r>
      <w:r>
        <w:t xml:space="preserve"> </w:t>
      </w:r>
      <w:r>
        <w:t xml:space="preserve">[KSJ]</w:t>
      </w:r>
    </w:p>
    <w:p>
      <w:pPr>
        <w:pStyle w:val="Compact"/>
        <w:numPr>
          <w:ilvl w:val="0"/>
          <w:numId w:val="1018"/>
        </w:numPr>
      </w:pPr>
      <w:r>
        <w:t xml:space="preserve">[…それを供え]</w:t>
      </w:r>
      <w:r>
        <w:rPr>
          <w:b/>
          <w:bCs/>
        </w:rPr>
        <w:t xml:space="preserve">ていらっしゃる</w:t>
      </w:r>
      <w:r>
        <w:t xml:space="preserve"> </w:t>
      </w:r>
      <w:r>
        <w:t xml:space="preserve">[OZW]</w:t>
      </w:r>
    </w:p>
    <w:p>
      <w:pPr>
        <w:pStyle w:val="FirstParagraph"/>
      </w:pPr>
      <w:r>
        <w:t xml:space="preserve">このように、コーパスレベルの共出現構文要素より訳の追加・言い換えの揺れが大きかった。この中で、動詞フレーズの訳され方の揺れについては、理論よりも訳し方の揺れが大い</w:t>
      </w:r>
      <w:r>
        <w:t xml:space="preserve"> </w:t>
      </w:r>
      <w:r>
        <w:t xml:space="preserve">Yamamoto, Hodoscek, and Chen (2023)</w:t>
      </w:r>
      <w:r>
        <w:t xml:space="preserve"> </w:t>
      </w:r>
      <w:r>
        <w:t xml:space="preserve">ことも報告されている。これらの追加要素と言い換えは、古語・現代語の言語変化・変異に由来したものと考えている。分類語彙表番号で一致と認定できず、現代語訳と原文の差分において抽出されるようになるが、ノンリテラル情報とは言い難い。</w:t>
      </w:r>
    </w:p>
    <w:bookmarkEnd w:id="133"/>
    <w:bookmarkStart w:id="134" w:name="共出現語の意味傾向の訳出"/>
    <w:p>
      <w:pPr>
        <w:pStyle w:val="Heading4"/>
      </w:pPr>
      <w:r>
        <w:t xml:space="preserve">共出現語の意味傾向の訳出</w:t>
      </w:r>
    </w:p>
    <w:p>
      <w:pPr>
        <w:pStyle w:val="FirstParagraph"/>
      </w:pPr>
      <w:r>
        <w:t xml:space="preserve">「立田」のコーパスレベルでの共出現語の傾向としては、「立田川」「立田（の）山」など地名を構成する「山・川」のグループと、秋の「神」に関連する関連語のグループに属していることがあげられる。秋・紅葉が有名な神聖な場所の歌枕として使われている性質が伺える。この傾向性は、298 番の歌でどのように明確にされているかについては、やはり直接な追加がなかった。ただし、間接的な現象として、10 人の訳では、「立田姫」「神」の周辺に追加要素が集中して出現していることが確認された。</w:t>
      </w:r>
      <w:r>
        <w:t xml:space="preserve"> </w:t>
      </w:r>
      <w:r>
        <w:t xml:space="preserve">「立田姫」に対する要素の追加は、10 人のうち 7 人が行っている：</w:t>
      </w:r>
    </w:p>
    <w:p>
      <w:pPr>
        <w:pStyle w:val="Compact"/>
        <w:numPr>
          <w:ilvl w:val="0"/>
          <w:numId w:val="1019"/>
        </w:numPr>
      </w:pPr>
      <w:r>
        <w:t xml:space="preserve">【秋をつかさどる】龍田姫【が旅立ちにあたって】 [KTGR]</w:t>
      </w:r>
    </w:p>
    <w:p>
      <w:pPr>
        <w:pStyle w:val="Compact"/>
        <w:numPr>
          <w:ilvl w:val="0"/>
          <w:numId w:val="1019"/>
        </w:numPr>
      </w:pPr>
      <w:r>
        <w:t xml:space="preserve">【秋も終りに近づき秋の女神の】龍田姫【がお帰りになる】 [OKMR]</w:t>
      </w:r>
    </w:p>
    <w:p>
      <w:pPr>
        <w:pStyle w:val="Compact"/>
        <w:numPr>
          <w:ilvl w:val="0"/>
          <w:numId w:val="1019"/>
        </w:numPr>
      </w:pPr>
      <w:r>
        <w:t xml:space="preserve">竜田姫【が旅にあって】 [TKOK]</w:t>
      </w:r>
    </w:p>
    <w:p>
      <w:pPr>
        <w:pStyle w:val="Compact"/>
        <w:numPr>
          <w:ilvl w:val="0"/>
          <w:numId w:val="1019"/>
        </w:numPr>
      </w:pPr>
      <w:r>
        <w:t xml:space="preserve">立田姫【は秋の神だが】 [KNK]</w:t>
      </w:r>
    </w:p>
    <w:p>
      <w:pPr>
        <w:pStyle w:val="Compact"/>
        <w:numPr>
          <w:ilvl w:val="0"/>
          <w:numId w:val="1019"/>
        </w:numPr>
      </w:pPr>
      <w:r>
        <w:t xml:space="preserve">【帰り道についた】龍田姫【が道中の無事を願って】 [KMCY]</w:t>
      </w:r>
    </w:p>
    <w:p>
      <w:pPr>
        <w:pStyle w:val="Compact"/>
        <w:numPr>
          <w:ilvl w:val="0"/>
          <w:numId w:val="1019"/>
        </w:numPr>
      </w:pPr>
      <w:r>
        <w:t xml:space="preserve">【秋も終りに近づき】竜田姫【がお帰りになる際に】 [KSJ]</w:t>
      </w:r>
    </w:p>
    <w:p>
      <w:pPr>
        <w:pStyle w:val="Compact"/>
        <w:numPr>
          <w:ilvl w:val="0"/>
          <w:numId w:val="1019"/>
        </w:numPr>
      </w:pPr>
      <w:r>
        <w:t xml:space="preserve">【もはや秋の終りで】龍田姫【が帰り道にお着きになった】 [OZW]</w:t>
      </w:r>
    </w:p>
    <w:p>
      <w:pPr>
        <w:pStyle w:val="FirstParagraph"/>
      </w:pPr>
      <w:r>
        <w:t xml:space="preserve">KBT, MTD, K&amp;A の訳では「立田姫」の周辺の追加が確認されなかった。</w:t>
      </w:r>
      <w:r>
        <w:t xml:space="preserve"> </w:t>
      </w:r>
      <w:r>
        <w:t xml:space="preserve">「手向ける神」の文脈に確認できる追加は 5 人の訳から観測できた。</w:t>
      </w:r>
    </w:p>
    <w:p>
      <w:pPr>
        <w:pStyle w:val="Compact"/>
        <w:numPr>
          <w:ilvl w:val="0"/>
          <w:numId w:val="1020"/>
        </w:numPr>
      </w:pPr>
      <w:r>
        <w:t xml:space="preserve">【旅中】（供え物をささげる）【道祖】神 [MTD]</w:t>
      </w:r>
    </w:p>
    <w:p>
      <w:pPr>
        <w:pStyle w:val="Compact"/>
        <w:numPr>
          <w:ilvl w:val="0"/>
          <w:numId w:val="1020"/>
        </w:numPr>
      </w:pPr>
      <w:r>
        <w:t xml:space="preserve">【姫が道中の安全を祈って】手向け（をなさる）神 [OKMR]</w:t>
      </w:r>
    </w:p>
    <w:p>
      <w:pPr>
        <w:pStyle w:val="Compact"/>
        <w:numPr>
          <w:ilvl w:val="0"/>
          <w:numId w:val="1020"/>
        </w:numPr>
      </w:pPr>
      <w:r>
        <w:t xml:space="preserve">【それすら暮れて行かれる折には】【お】手向け（なさる）【道の】神【様】 [KNK]</w:t>
      </w:r>
    </w:p>
    <w:p>
      <w:pPr>
        <w:pStyle w:val="Compact"/>
        <w:numPr>
          <w:ilvl w:val="0"/>
          <w:numId w:val="1020"/>
        </w:numPr>
      </w:pPr>
      <w:r>
        <w:t xml:space="preserve">【旅の安全を祈って】手向け（られる）神 [KSJ]</w:t>
      </w:r>
    </w:p>
    <w:p>
      <w:pPr>
        <w:pStyle w:val="Compact"/>
        <w:numPr>
          <w:ilvl w:val="0"/>
          <w:numId w:val="1020"/>
        </w:numPr>
      </w:pPr>
      <w:r>
        <w:t xml:space="preserve">【道の】（神様）【にそれを】（供えていらっしゃる）＊ [OZW]</w:t>
      </w:r>
    </w:p>
    <w:p>
      <w:pPr>
        <w:pStyle w:val="FirstParagraph"/>
      </w:pPr>
      <w:r>
        <w:t xml:space="preserve">K&amp;A, KMCY, KTGR, KBT, TKOK は要素の追加を行わなかった。「立田姫」「手向く」「神」の情報について、ほかの要素よりも重点的に情報の提供と補足を行っている。「立田姫」が「秋の神」・秋の擬人化で、立田姫の「手向く」目的が「旅の安全」で、手向く対象の「神」が道の神、旅の神、道祖神であるといった、情報の補足が現代語訳と原文の差分で抽出できよう。</w:t>
      </w:r>
    </w:p>
    <w:bookmarkEnd w:id="134"/>
    <w:bookmarkEnd w:id="135"/>
    <w:bookmarkEnd w:id="136"/>
    <w:bookmarkStart w:id="146" w:name="sec-discussion"/>
    <w:p>
      <w:pPr>
        <w:pStyle w:val="Heading1"/>
      </w:pPr>
      <w:r>
        <w:t xml:space="preserve">4. 考察</w:t>
      </w:r>
    </w:p>
    <w:bookmarkStart w:id="137" w:name="追加率からみる翻訳アプローチと翻訳実践とのずれ"/>
    <w:p>
      <w:pPr>
        <w:pStyle w:val="Heading2"/>
      </w:pPr>
      <w:r>
        <w:t xml:space="preserve">4.1 追加率からみる翻訳アプローチと翻訳実践とのずれ</w:t>
      </w:r>
    </w:p>
    <w:p>
      <w:pPr>
        <w:pStyle w:val="FirstParagraph"/>
      </w:pPr>
      <w:r>
        <w:t xml:space="preserve">現代語訳における追加率の階層モデリングの結果、いずれの翻訳アプローチにおいても、相当の比例の追加要素が含まれえていることが再現できた。また、訳者の間の変動より、歌による変動のほうが大きいと考えられる。これらの注釈書では、多くの語の解釈が注釈によってすでに詳しく解説されていながらも、追加率が低下しているとは意味しなかった。訳者の翻訳アプローチがテキストを重視するにせよ、作者の意図を重視するにせよ、読者の読み易さを重視するにせよ、基本的に追加せざるをえない要素があると推測できよう。</w:t>
      </w:r>
    </w:p>
    <w:p>
      <w:pPr>
        <w:pStyle w:val="BodyText"/>
      </w:pPr>
      <w:r>
        <w:t xml:space="preserve">ただし、追加要素の中では、それぞれの訳を具体的に確認すると、OZW が語順の入れ替えを許容するなり、TKOK の訳が著者の本意を重視するなりの方針は確実にその実践に反映されている。個別の歌を精査することで明確な差が見えてくるものの、大局的にその差が傾向としかいえなかった。それらの要素は、つまり、翻訳アプローチ、訳者の個人差に左右されないものが量として十分ある。また、</w:t>
      </w:r>
      <w:r>
        <w:t xml:space="preserve"> </w:t>
      </w:r>
      <w:r>
        <w:t xml:space="preserve">追加率の平均値上位 10 首の歌を観察したところ、掛詞を用いた歌が特徴的であった。掛詞の役割を明確するには、訳での補足が求められており、現代語・古代語の差分で残る要素が多いと考えられる。したがって、量的には現代語訳によるノンリテラル要素の可視化が現実的であった。</w:t>
      </w:r>
    </w:p>
    <w:p>
      <w:pPr>
        <w:pStyle w:val="BodyText"/>
      </w:pPr>
      <w:r>
        <w:t xml:space="preserve">一方で、歌と現代語訳の差分によるノンリテラル情報の抽出の際に、訳されなかった語の存在がないことが望ましくないので、不一致率の高い歌について調査を行った。その結果、翻訳の「欠落」の多くは序詞、枕詞と回りくどい表現であることが判明した。現代語文と歌の差分では、枕詞と序詞などについてのノンリテラル要素の抽出が難しい一面が伺える。</w:t>
      </w:r>
      <w:r>
        <w:t xml:space="preserve"> </w:t>
      </w:r>
      <w:r>
        <w:t xml:space="preserve">ただし、回りくどい表現に関しては、基本的に歌ことばとその回りくどい言い方の一部との一致を確定できるが、回りくどい表現全体との一致ができなかった。この問題を語の一致の課題だと述べたものの、最初に一対多の訳について言及したように一対多の訳と同様に、回りくどい表現は元の歌ことばに情報を付随して生成されることが多いため、回りくどい表現で対応で一致しない要素（つまり、訳のあまりもの）は、ノンリテラル要素を調べる目的からすれば、むしろ貴重なものなのである。</w:t>
      </w:r>
    </w:p>
    <w:bookmarkEnd w:id="137"/>
    <w:bookmarkStart w:id="138" w:name="翻訳で開示できるノンリテラル要素の類型化"/>
    <w:p>
      <w:pPr>
        <w:pStyle w:val="Heading2"/>
      </w:pPr>
      <w:r>
        <w:t xml:space="preserve">4.2 翻訳で開示できるノンリテラル要素の類型化</w:t>
      </w:r>
    </w:p>
    <w:p>
      <w:pPr>
        <w:pStyle w:val="FirstParagraph"/>
      </w:pPr>
      <w:r>
        <w:t xml:space="preserve">ケーススタディーの分析に基づき、拡張意味単位からヒントを得た 3 つの観点で訳における追加要素について、以下の類型化を提案する。</w:t>
      </w:r>
    </w:p>
    <w:p>
      <w:pPr>
        <w:pStyle w:val="Compact"/>
        <w:numPr>
          <w:ilvl w:val="0"/>
          <w:numId w:val="1021"/>
        </w:numPr>
      </w:pPr>
      <w:r>
        <w:t xml:space="preserve">コーパスレベルでの共出現語に由来した追加要素</w:t>
      </w:r>
    </w:p>
    <w:p>
      <w:pPr>
        <w:pStyle w:val="Compact"/>
        <w:numPr>
          <w:ilvl w:val="0"/>
          <w:numId w:val="1022"/>
        </w:numPr>
      </w:pPr>
      <w:r>
        <w:t xml:space="preserve">共出現語の直接的な追加：例えば、「木の葉」→「木の葉の</w:t>
      </w:r>
      <w:r>
        <w:rPr>
          <w:b/>
          <w:bCs/>
        </w:rPr>
        <w:t xml:space="preserve">紅葉</w:t>
      </w:r>
      <w:r>
        <w:t xml:space="preserve">」</w:t>
      </w:r>
    </w:p>
    <w:p>
      <w:pPr>
        <w:pStyle w:val="Compact"/>
        <w:numPr>
          <w:ilvl w:val="0"/>
          <w:numId w:val="1022"/>
        </w:numPr>
      </w:pPr>
      <w:r>
        <w:t xml:space="preserve">共出現語に対する補足、つまり二次的・間接的な要素の追加：例えば、「</w:t>
      </w:r>
      <w:r>
        <w:rPr>
          <w:b/>
          <w:bCs/>
        </w:rPr>
        <w:t xml:space="preserve">幣</w:t>
      </w:r>
      <w:r>
        <w:t xml:space="preserve">」に「色とりどり」「撒く」</w:t>
      </w:r>
    </w:p>
    <w:p>
      <w:pPr>
        <w:pStyle w:val="Compact"/>
        <w:numPr>
          <w:ilvl w:val="0"/>
          <w:numId w:val="1023"/>
        </w:numPr>
      </w:pPr>
      <w:r>
        <w:t xml:space="preserve">構文・文法面での言語変化のギャップを埋めるための追加要素</w:t>
      </w:r>
    </w:p>
    <w:p>
      <w:pPr>
        <w:pStyle w:val="Compact"/>
        <w:numPr>
          <w:ilvl w:val="0"/>
          <w:numId w:val="1024"/>
        </w:numPr>
      </w:pPr>
      <w:r>
        <w:t xml:space="preserve">分類語彙表番号で一致と認定できなかった助詞の変化：例えば、「と」の複数の訳し方</w:t>
      </w:r>
    </w:p>
    <w:p>
      <w:pPr>
        <w:pStyle w:val="Compact"/>
        <w:numPr>
          <w:ilvl w:val="0"/>
          <w:numId w:val="1024"/>
        </w:numPr>
      </w:pPr>
      <w:r>
        <w:t xml:space="preserve">動詞基本形に対する要素の追加：「手向ける」の複数の訳し方</w:t>
      </w:r>
    </w:p>
    <w:p>
      <w:pPr>
        <w:pStyle w:val="Compact"/>
        <w:numPr>
          <w:ilvl w:val="0"/>
          <w:numId w:val="1025"/>
        </w:numPr>
      </w:pPr>
      <w:r>
        <w:t xml:space="preserve">コーパスレベルの共出現語の意味群の全体的な傾向性をめぐる追加要素</w:t>
      </w:r>
    </w:p>
    <w:p>
      <w:pPr>
        <w:pStyle w:val="Compact"/>
        <w:numPr>
          <w:ilvl w:val="0"/>
          <w:numId w:val="1026"/>
        </w:numPr>
      </w:pPr>
      <w:r>
        <w:t xml:space="preserve">共出現語の「秋」「神」の意味群にある語についての補足：「立田姫」「道祖神」の情報の補足</w:t>
      </w:r>
    </w:p>
    <w:p>
      <w:pPr>
        <w:pStyle w:val="FirstParagraph"/>
      </w:pPr>
      <w:r>
        <w:t xml:space="preserve">翻訳との差分に基づく可視化システムを構築する際にこれらの要素の区別が重要である。まず、「木の葉」に補足しての「紅葉」は、センテンスレベルではノンリテラルであるが、コーパスレベルではリテラルな共出現語であるといえる。差分による可視化でもアクセスできることが確認できたものの、その他の共出現分析に用いる指標でも十分抽出できる。そのため、差分による可視化の必要性を低くなる。</w:t>
      </w:r>
    </w:p>
    <w:p>
      <w:pPr>
        <w:pStyle w:val="BodyText"/>
      </w:pPr>
      <w:r>
        <w:t xml:space="preserve">次に、構文の時代変化のギャップを埋めるための追加要素は、原文の語に由来するノンリテラル情報とは捉えられないため、除外する手続きを踏まなければならない。そして、共出現の語の全体的傾向性に関連する追加要素は、おそらく共出現語分析では抽出できない。翻訳との差分による可視化の独自な利点と考えられる。</w:t>
      </w:r>
    </w:p>
    <w:p>
      <w:pPr>
        <w:pStyle w:val="BodyText"/>
      </w:pPr>
      <w:r>
        <w:t xml:space="preserve">最後に、本稿では触れなかった拡張意味単位の第 4 のレベルである談話韻律の視点について補足する。談話韻律に相当する感情面の評価と、語の社会言語学的な属性は、訳の追加要素では分からない情報と考えている。これらの属性を直接な補足と追加で明示化することはない。一部は現代語にある connotative term で言い換えられており、これら機能が相当する語の入れ替えはあっても、その入れ替え自体の談話韻律の説明として直接は成立しない。よって、これらの評価は、ほかの方法を求めるべきである。</w:t>
      </w:r>
    </w:p>
    <w:bookmarkEnd w:id="138"/>
    <w:bookmarkStart w:id="139" w:name="現代語訳の知識としての信憑性"/>
    <w:p>
      <w:pPr>
        <w:pStyle w:val="Heading2"/>
      </w:pPr>
      <w:r>
        <w:t xml:space="preserve">4.3 現代語訳の知識としての信憑性</w:t>
      </w:r>
    </w:p>
    <w:p>
      <w:pPr>
        <w:pStyle w:val="FirstParagraph"/>
      </w:pPr>
      <w:r>
        <w:t xml:space="preserve">10 人の翻訳と原文の差分による可視化のシステムは、10 人の個々の歌に対する知見を総合するという意味で、ある種のメタ分析や要約と見てよいと考えている。</w:t>
      </w:r>
    </w:p>
    <w:p>
      <w:pPr>
        <w:pStyle w:val="BodyText"/>
      </w:pPr>
      <w:r>
        <w:t xml:space="preserve">しかし、現代語訳に含める知識の可視化は、どこまで歌ことばのノンリテラル情報にアクセスできるか、可視化としてどの程度妥当で信頼できるかは、本稿では触れなかった。翻訳において、過剰に意味を付けることは解釈として妥当性と整合性を失う。本来のテキストのシンプルな意味や意図が、過剰な意味付けによって曖昧になり、読者がテキストを正しく理解することが難しくなりうる。そのような翻訳を可視化に応用すると、可視化自体の意味の信憑性がなくなる。その可能性は考慮すべき一環であり、いかに訳者の訳語の中からロバストな部分を見出すかは翻訳に基づく可視化の重要な課題である。</w:t>
      </w:r>
    </w:p>
    <w:bookmarkEnd w:id="139"/>
    <w:bookmarkStart w:id="143" w:name="翻訳研究の知見による解釈の必要性"/>
    <w:p>
      <w:pPr>
        <w:pStyle w:val="Heading2"/>
      </w:pPr>
      <w:r>
        <w:t xml:space="preserve">4.4 翻訳研究の知見による解釈の必要性</w:t>
      </w:r>
    </w:p>
    <w:p>
      <w:pPr>
        <w:pStyle w:val="FirstParagraph"/>
      </w:pPr>
      <w:r>
        <w:t xml:space="preserve">本研究は、翻訳研究として位置づけるものではないが、翻訳における要素の追加や、原文における要素の喪失などの現象は、翻訳研究における仮説と理論によって解釈する余地は大いにあると考えられる。</w:t>
      </w:r>
    </w:p>
    <w:p>
      <w:pPr>
        <w:pStyle w:val="BodyText"/>
      </w:pPr>
      <w:r>
        <w:t xml:space="preserve">例えば、翻訳普遍性仮説 (translation universal hypothesis; cf.,</w:t>
      </w:r>
      <w:r>
        <w:t xml:space="preserve"> </w:t>
      </w:r>
      <w:r>
        <w:t xml:space="preserve">Chesterman (2004)</w:t>
      </w:r>
      <w:r>
        <w:t xml:space="preserve">;</w:t>
      </w:r>
      <w:r>
        <w:t xml:space="preserve"> </w:t>
      </w:r>
      <w:r>
        <w:t xml:space="preserve">Edina (2016)</w:t>
      </w:r>
      <w:r>
        <w:t xml:space="preserve">) における長さ増加の普遍性 (law of lenghtening,</w:t>
      </w:r>
      <w:r>
        <w:t xml:space="preserve"> </w:t>
      </w:r>
      <w:r>
        <w:t xml:space="preserve">Vinay (1958)</w:t>
      </w:r>
      <w:r>
        <w:t xml:space="preserve">) 、明示化の普遍性 (law of expicitation,</w:t>
      </w:r>
      <w:r>
        <w:t xml:space="preserve"> </w:t>
      </w:r>
      <w:r>
        <w:t xml:space="preserve">Baker (1996)</w:t>
      </w:r>
      <w:r>
        <w:t xml:space="preserve">;</w:t>
      </w:r>
      <w:r>
        <w:t xml:space="preserve"> </w:t>
      </w:r>
      <w:r>
        <w:t xml:space="preserve">Blum-Kulka (1986)</w:t>
      </w:r>
      <w:r>
        <w:t xml:space="preserve">) からしては、現代語訳の追加要素の存在が不思議なものではなく、むしろ翻訳における普遍的な現象である。特に明示化の普遍性は、本稿のいうノンリテラル要素の開示に関連性が強い。翻訳における明示化について、</w:t>
      </w:r>
      <w:r>
        <w:t xml:space="preserve">Blum-Kulka (1986)</w:t>
      </w:r>
      <w:r>
        <w:t xml:space="preserve"> </w:t>
      </w:r>
      <w:r>
        <w:t xml:space="preserve">では、翻訳者がソーステキストにはない cohensive marker</w:t>
      </w:r>
      <w:r>
        <w:rPr>
          <w:rStyle w:val="FootnoteReference"/>
        </w:rPr>
        <w:footnoteReference w:id="140"/>
      </w:r>
      <w:r>
        <w:t xml:space="preserve"> </w:t>
      </w:r>
      <w:r>
        <w:t xml:space="preserve">をターゲットテキストで示すことが示唆されている。一方で、</w:t>
      </w:r>
      <w:r>
        <w:t xml:space="preserve">Baker (1996, 180)</w:t>
      </w:r>
      <w:r>
        <w:t xml:space="preserve"> </w:t>
      </w:r>
      <w:r>
        <w:t xml:space="preserve">は、この問題を物事を暗黙的なままにしておくのではなく、明確に説明する傾向があるというように、より広く捉えられるようになった。「明示化」は、もともとは談話標識の訳文における増加傾向を指しており、本研究における要素の追加の一部の解釈としてありうる。とはいえ、すべての現象についてこの仮説で解釈されることが難しい</w:t>
      </w:r>
      <w:r>
        <w:rPr>
          <w:rStyle w:val="FootnoteReference"/>
        </w:rPr>
        <w:footnoteReference w:id="141"/>
      </w:r>
      <w:r>
        <w:t xml:space="preserve">。</w:t>
      </w:r>
      <w:r>
        <w:t xml:space="preserve"> </w:t>
      </w:r>
      <w:r>
        <w:t xml:space="preserve">例えば、談話標識や cohensive marker の追加を取り除いても、分析事例においてはかなりの追加要素があった。すべての要素の追加が翻訳普遍性に帰結できなかった。</w:t>
      </w:r>
    </w:p>
    <w:p>
      <w:pPr>
        <w:pStyle w:val="BodyText"/>
      </w:pPr>
      <w:r>
        <w:t xml:space="preserve">他に、テキストの翻訳ではないが、翻訳の認知面の研究では、例えば「リテラル翻訳仮説」(literal translation hypothesis)</w:t>
      </w:r>
      <w:r>
        <w:rPr>
          <w:rStyle w:val="FootnoteReference"/>
        </w:rPr>
        <w:footnoteReference w:id="142"/>
      </w:r>
      <w:r>
        <w:t xml:space="preserve"> </w:t>
      </w:r>
      <w:r>
        <w:t xml:space="preserve">にも触れておくべきである。この仮説に基づき、認知処理と認知負荷の観点からのリテラル翻訳の可能性の度合い (translation literality) の操作化</w:t>
      </w:r>
      <w:r>
        <w:t xml:space="preserve"> </w:t>
      </w:r>
      <w:r>
        <w:t xml:space="preserve">(@ Carl and Schaeffer 2017)</w:t>
      </w:r>
      <w:r>
        <w:t xml:space="preserve"> </w:t>
      </w:r>
      <w:r>
        <w:t xml:space="preserve">が 1. 原文と訳文の語順の類似性と 2. 可能な異なる翻訳表現の数、といったように考えている。いずれも、本稿でいうテキストとしての追加率、不一致率と異なった視点になっている。その中の 2 点目が筆者らのノンリテラル要素の可視化に関連する可能性があり、検討すべき尺度であった。</w:t>
      </w:r>
    </w:p>
    <w:p>
      <w:pPr>
        <w:pStyle w:val="BodyText"/>
      </w:pPr>
      <w:r>
        <w:t xml:space="preserve">また、翻訳研究からの検討について、単位の一致の問題について、従来 translation equivalence</w:t>
      </w:r>
      <w:r>
        <w:t xml:space="preserve"> </w:t>
      </w:r>
      <w:r>
        <w:t xml:space="preserve">(cf., Nida and Taber [1982] 1969)</w:t>
      </w:r>
      <w:r>
        <w:t xml:space="preserve"> </w:t>
      </w:r>
      <w:r>
        <w:t xml:space="preserve">や translation unit</w:t>
      </w:r>
      <w:r>
        <w:t xml:space="preserve"> </w:t>
      </w:r>
      <w:r>
        <w:t xml:space="preserve">(cf., Koller [2004] 1979; Malmkjær 2008)</w:t>
      </w:r>
      <w:r>
        <w:t xml:space="preserve"> </w:t>
      </w:r>
      <w:r>
        <w:t xml:space="preserve">に関する議論が多かった。それらの視座から分析単位の影響を考察しなければならず、検討の余地は大いにある。</w:t>
      </w:r>
    </w:p>
    <w:bookmarkEnd w:id="143"/>
    <w:bookmarkStart w:id="144" w:name="方法論の改善余地"/>
    <w:p>
      <w:pPr>
        <w:pStyle w:val="Heading2"/>
      </w:pPr>
      <w:r>
        <w:t xml:space="preserve">4.5 方法論の改善余地</w:t>
      </w:r>
    </w:p>
    <w:p>
      <w:pPr>
        <w:pStyle w:val="FirstParagraph"/>
      </w:pPr>
      <w:r>
        <w:t xml:space="preserve">本稿は完全にルールベースドな一致率の計算であり、一致の探索の一貫性と簡素さの面では優れている方法であると考えられる一方で、整列法に関しては動的計画法によるアライメントには課題を残している。古語と現代語では、片方が低リソース言語ではあるものの、ニューラルベースドな手法でのアライメントやマニュアルによるアライメントも視野に入れるべきである。例えば、</w:t>
      </w:r>
      <w:r>
        <w:t xml:space="preserve">Palladino, Shamsian, and Yousef (2022)</w:t>
      </w:r>
      <w:r>
        <w:t xml:space="preserve">,</w:t>
      </w:r>
      <w:r>
        <w:t xml:space="preserve"> </w:t>
      </w:r>
      <w:r>
        <w:t xml:space="preserve">Camilleri (2024)</w:t>
      </w:r>
      <w:r>
        <w:t xml:space="preserve"> </w:t>
      </w:r>
      <w:r>
        <w:t xml:space="preserve">のように、</w:t>
      </w:r>
      <w:r>
        <w:t xml:space="preserve">Palladino, Shamsian, and Yousef (2022)</w:t>
      </w:r>
      <w:r>
        <w:t xml:space="preserve"> </w:t>
      </w:r>
      <w:r>
        <w:t xml:space="preserve">で提案された</w:t>
      </w:r>
      <w:r>
        <w:t xml:space="preserve"> </w:t>
      </w:r>
      <w:r>
        <w:rPr>
          <w:rStyle w:val="VerbatimChar"/>
        </w:rPr>
        <w:t xml:space="preserve">Ugarti</w:t>
      </w:r>
      <w:r>
        <w:t xml:space="preserve"> </w:t>
      </w:r>
      <w:r>
        <w:t xml:space="preserve">プラットフォーム を介したアライメントで、一対多の対応の分析、訳し方の共通パターンと分岐パターン、非対応の品詞情報の分析など、より精緻なコントロールが期待される。</w:t>
      </w:r>
    </w:p>
    <w:bookmarkEnd w:id="144"/>
    <w:bookmarkStart w:id="145" w:name="分類語彙表番号の応用研究として"/>
    <w:p>
      <w:pPr>
        <w:pStyle w:val="Heading2"/>
      </w:pPr>
      <w:r>
        <w:t xml:space="preserve">4.6 分類語彙表番号の応用研究として</w:t>
      </w:r>
    </w:p>
    <w:p>
      <w:pPr>
        <w:pStyle w:val="FirstParagraph"/>
      </w:pPr>
      <w:r>
        <w:t xml:space="preserve">本稿における（不）一致率・追加率の計算では、言語処理のアライメントモデルではなく安定的な分類番号を用いた。とりわけ、バッグ法は、句や語の入れ替えに関係せず、意味の一致を検出できた。意味の分類体系が、同一の意味の語を階層的に対応づけることの有用性が古語研究で再確認できた。本研究では、まだ旧分類語彙表番号を用いているが、現在</w:t>
      </w:r>
      <w:r>
        <w:t xml:space="preserve"> </w:t>
      </w:r>
      <w:r>
        <w:t xml:space="preserve">Asahara et al. (2022)</w:t>
      </w:r>
      <w:r>
        <w:t xml:space="preserve"> </w:t>
      </w:r>
      <w:r>
        <w:t xml:space="preserve">によって古語への分類語彙番号が付与されていることによって広げられる研究の可能性が十分期待できるであろう。ただし、分類語彙表番号は、2024年現時点において概念レベルまでであって、類義語、同義語、同語異表記のメタコード・識別子として一致の検出への対応は、研究者各自で目標に沿ったアダプテーションが求められている。本稿で採用している意味付与もまた、その修正を重ねていく必要がある。この点において、意味体系の作り方に関して検討する余地があると考えている。</w:t>
      </w:r>
    </w:p>
    <w:bookmarkEnd w:id="145"/>
    <w:bookmarkEnd w:id="146"/>
    <w:bookmarkStart w:id="147" w:name="sec-conclusions"/>
    <w:p>
      <w:pPr>
        <w:pStyle w:val="Heading1"/>
      </w:pPr>
      <w:r>
        <w:t xml:space="preserve">5. 結論</w:t>
      </w:r>
    </w:p>
    <w:p>
      <w:pPr>
        <w:pStyle w:val="FirstParagraph"/>
      </w:pPr>
      <w:r>
        <w:t xml:space="preserve">本稿では、古今集の現代語訳から原文のノンリテラル要素の可視化の材料として有用である根拠を示すために、古今集の現代語訳 10 種類における追加要素の分析を行った。</w:t>
      </w:r>
    </w:p>
    <w:p>
      <w:pPr>
        <w:pStyle w:val="BodyText"/>
      </w:pPr>
      <w:r>
        <w:t xml:space="preserve">具体的に、古今和歌集の現代語訳の概要について説明し、20 世紀における和歌の現代語訳の翻訳アプローチを、注釈書における訳者の記している内容に基づた整理を行った。訳者の翻訳の意識は、コミュニケーションモデルの視点から、歌人の作意 (source) を重視する、テキストの文字通りの意味 (signal) を重視する、読者 (destination) を重視する、とその他明確でないもの 4 種類に分類できた。</w:t>
      </w:r>
    </w:p>
    <w:p>
      <w:pPr>
        <w:pStyle w:val="BodyText"/>
      </w:pPr>
      <w:r>
        <w:t xml:space="preserve">それらの主観的な翻訳意識・翻訳アプローチが訳における追加と一致の客観的に指標に反映されているかいついて、</w:t>
      </w:r>
      <w:r>
        <w:t xml:space="preserve"> </w:t>
      </w:r>
      <w:r>
        <w:t xml:space="preserve">Yamamoto and Hodošček (2019)</w:t>
      </w:r>
      <w:r>
        <w:t xml:space="preserve"> </w:t>
      </w:r>
      <w:r>
        <w:t xml:space="preserve">で行った追加率の計算手順を明示的にし、より明確な設定と更新データを用いた再計算を行った。古語と現代語訳の語レベルの非一致率、現代語訳における追加率の計算と統計モデリングにより、翻訳アプローチにかかわらず現代語訳における情報の追加が普遍的であり、訳者間の追加率の変動が歌間の追加率の変動より小さいことを示した。</w:t>
      </w:r>
    </w:p>
    <w:p>
      <w:pPr>
        <w:pStyle w:val="BodyText"/>
      </w:pPr>
      <w:r>
        <w:t xml:space="preserve">追加要素が十分ノンリテラル要素として成立するかを検討するために、298 番「立田」歌の現代語訳の事例を 10 つ同時にアライメントとして提示し、対象語のコーパスレベルの共出現語、共出現構文パターン、共出現語の意味志向がセンテンスレベルの現代語訳でどのように処理されているかを調査した。その結果、コーパスレベルの共出現傾向をもつ単位の場合、センテンスレベルでの処理が 10 人の間で安定的な処理が見られた。コーパスレベルで共出現傾向にない要素の追加がよりバリエーションを示している。とりわけ注意すべき現象は、コーパスレベルの共出現語が訳の推論に用いられることと、コーパスレベルの共出現語の意味志向（全体的な意味の傾向）に関連する語が訳においてより多く補足的説明をもつことであった。一方で、構文面の追加は、言語変化のギャップを埋めるためのものであった。</w:t>
      </w:r>
    </w:p>
    <w:p>
      <w:pPr>
        <w:pStyle w:val="BodyText"/>
      </w:pPr>
      <w:r>
        <w:t xml:space="preserve">以上により、和歌の現代語訳が、たとえ直訳・逐語訳に拘っているとしても、和歌辞典とは異なる解釈材料として、和歌のノンリテラル情報を補足説明するために利用できることを論じた。しかし同時に、言語変化のギャップを埋めるための要素の除外や、翻訳における信頼性の高い要素の取り立て方の工夫の重要性を示唆している。</w:t>
      </w:r>
    </w:p>
    <w:bookmarkEnd w:id="147"/>
    <w:bookmarkStart w:id="148" w:name="データの公開利用"/>
    <w:p>
      <w:pPr>
        <w:pStyle w:val="Heading1"/>
      </w:pPr>
      <w:r>
        <w:t xml:space="preserve">データの公開利用</w:t>
      </w:r>
    </w:p>
    <w:p>
      <w:pPr>
        <w:pStyle w:val="FirstParagraph"/>
      </w:pPr>
      <w:r>
        <w:t xml:space="preserve">公開できるデータである</w:t>
      </w:r>
      <w:r>
        <w:t xml:space="preserve"> </w:t>
      </w:r>
      <w:r>
        <w:t xml:space="preserve">金子 (1933)</w:t>
      </w:r>
      <w:r>
        <w:t xml:space="preserve"> </w:t>
      </w:r>
      <w:r>
        <w:t xml:space="preserve">による現代語訳の分割語彙データは XXXXX にて参照する。</w:t>
      </w:r>
    </w:p>
    <w:bookmarkEnd w:id="148"/>
    <w:bookmarkStart w:id="151" w:name="補足材料"/>
    <w:p>
      <w:pPr>
        <w:pStyle w:val="Heading1"/>
      </w:pPr>
      <w:r>
        <w:t xml:space="preserve">補足材料</w:t>
      </w:r>
    </w:p>
    <w:p>
      <w:pPr>
        <w:pStyle w:val="FirstParagraph"/>
      </w:pPr>
      <w:r>
        <w:t xml:space="preserve">補足資料は、</w:t>
      </w:r>
      <w:hyperlink r:id="rId149">
        <w:r>
          <w:rPr>
            <w:rStyle w:val="Hyperlink"/>
          </w:rPr>
          <w:t xml:space="preserve">https://github.com/idiig/replication-test/blob/main/supplementary-materials/補足資料 Supplementary materials.pdf</w:t>
        </w:r>
      </w:hyperlink>
      <w:r>
        <w:t xml:space="preserve"> </w:t>
      </w:r>
      <w:r>
        <w:t xml:space="preserve">を参照する。再現実験について、</w:t>
      </w:r>
      <w:hyperlink r:id="rId150">
        <w:r>
          <w:rPr>
            <w:rStyle w:val="Hyperlink"/>
          </w:rPr>
          <w:t xml:space="preserve">https://github.com/idiig/replication-test/tree/main</w:t>
        </w:r>
      </w:hyperlink>
      <w:r>
        <w:t xml:space="preserve"> </w:t>
      </w:r>
      <w:r>
        <w:t xml:space="preserve">を参照する。</w:t>
      </w:r>
    </w:p>
    <w:bookmarkEnd w:id="151"/>
    <w:bookmarkStart w:id="218" w:name="謝辞"/>
    <w:p>
      <w:pPr>
        <w:pStyle w:val="Heading1"/>
      </w:pPr>
      <w:r>
        <w:t xml:space="preserve">謝辞</w:t>
      </w:r>
    </w:p>
    <w:p>
      <w:pPr>
        <w:pStyle w:val="FirstParagraph"/>
      </w:pPr>
      <w:r>
        <w:t xml:space="preserve">本研究は、XXXXX の助成を受けたものである。</w:t>
      </w:r>
    </w:p>
    <w:bookmarkStart w:id="217" w:name="refs"/>
    <w:bookmarkStart w:id="152" w:name="ref-Asahara2022CHJWLSP"/>
    <w:p>
      <w:pPr>
        <w:pStyle w:val="Bibliography"/>
      </w:pPr>
      <w:r>
        <w:t xml:space="preserve">Asahara, Masayuki, Nao Ikegami, Tai Suzuki, Taro Ichimura, Asuko Kondo, Sachi Kato, and Makoto Yamazaki. 2022.</w:t>
      </w:r>
      <w:r>
        <w:t xml:space="preserve"> </w:t>
      </w:r>
      <w:r>
        <w:t xml:space="preserve">“</w:t>
      </w:r>
      <w:r>
        <w:t xml:space="preserve">CHJ-WLSP</w:t>
      </w:r>
      <w:r>
        <w:t xml:space="preserve">:</w:t>
      </w:r>
      <w:r>
        <w:t xml:space="preserve"> </w:t>
      </w:r>
      <w:r>
        <w:t xml:space="preserve">Annotation</w:t>
      </w:r>
      <w:r>
        <w:t xml:space="preserve"> </w:t>
      </w:r>
      <w:r>
        <w:t xml:space="preserve">of</w:t>
      </w:r>
      <w:r>
        <w:t xml:space="preserve"> </w:t>
      </w:r>
      <w:r>
        <w:t xml:space="preserve">‘</w:t>
      </w:r>
      <w:r>
        <w:t xml:space="preserve">Word List</w:t>
      </w:r>
      <w:r>
        <w:t xml:space="preserve"> </w:t>
      </w:r>
      <w:r>
        <w:t xml:space="preserve">by</w:t>
      </w:r>
      <w:r>
        <w:t xml:space="preserve"> </w:t>
      </w:r>
      <w:r>
        <w:t xml:space="preserve">Semantic Principles</w:t>
      </w:r>
      <w:r>
        <w:t xml:space="preserve">’</w:t>
      </w:r>
      <w:r>
        <w:t xml:space="preserve"> </w:t>
      </w:r>
      <w:r>
        <w:t xml:space="preserve">Labels</w:t>
      </w:r>
      <w:r>
        <w:t xml:space="preserve"> </w:t>
      </w:r>
      <w:r>
        <w:t xml:space="preserve">for the</w:t>
      </w:r>
      <w:r>
        <w:t xml:space="preserve"> </w:t>
      </w:r>
      <w:r>
        <w:t xml:space="preserve">Corpus</w:t>
      </w:r>
      <w:r>
        <w:t xml:space="preserve"> </w:t>
      </w:r>
      <w:r>
        <w:t xml:space="preserve">of</w:t>
      </w:r>
      <w:r>
        <w:t xml:space="preserve"> </w:t>
      </w:r>
      <w:r>
        <w:t xml:space="preserve">Historical Japanese</w:t>
      </w:r>
      <w:r>
        <w:t xml:space="preserve">.”</w:t>
      </w:r>
      <w:r>
        <w:t xml:space="preserve"> </w:t>
      </w:r>
      <w:r>
        <w:t xml:space="preserve">In</w:t>
      </w:r>
      <w:r>
        <w:t xml:space="preserve"> </w:t>
      </w:r>
      <w:r>
        <w:rPr>
          <w:i/>
          <w:iCs/>
        </w:rPr>
        <w:t xml:space="preserve">Proceedings of the</w:t>
      </w:r>
      <w:r>
        <w:rPr>
          <w:i/>
          <w:iCs/>
        </w:rPr>
        <w:t xml:space="preserve"> </w:t>
      </w:r>
      <w:r>
        <w:rPr>
          <w:i/>
          <w:iCs/>
        </w:rPr>
        <w:t xml:space="preserve">Second Workshop</w:t>
      </w:r>
      <w:r>
        <w:rPr>
          <w:i/>
          <w:iCs/>
        </w:rPr>
        <w:t xml:space="preserve"> </w:t>
      </w:r>
      <w:r>
        <w:rPr>
          <w:i/>
          <w:iCs/>
        </w:rPr>
        <w:t xml:space="preserve">on</w:t>
      </w:r>
      <w:r>
        <w:rPr>
          <w:i/>
          <w:iCs/>
        </w:rPr>
        <w:t xml:space="preserve"> </w:t>
      </w:r>
      <w:r>
        <w:rPr>
          <w:i/>
          <w:iCs/>
        </w:rPr>
        <w:t xml:space="preserve">Language Technologies</w:t>
      </w:r>
      <w:r>
        <w:rPr>
          <w:i/>
          <w:iCs/>
        </w:rPr>
        <w:t xml:space="preserve"> </w:t>
      </w:r>
      <w:r>
        <w:rPr>
          <w:i/>
          <w:iCs/>
        </w:rPr>
        <w:t xml:space="preserve">for</w:t>
      </w:r>
      <w:r>
        <w:rPr>
          <w:i/>
          <w:iCs/>
        </w:rPr>
        <w:t xml:space="preserve"> </w:t>
      </w:r>
      <w:r>
        <w:rPr>
          <w:i/>
          <w:iCs/>
        </w:rPr>
        <w:t xml:space="preserve">Historical</w:t>
      </w:r>
      <w:r>
        <w:rPr>
          <w:i/>
          <w:iCs/>
        </w:rPr>
        <w:t xml:space="preserve"> </w:t>
      </w:r>
      <w:r>
        <w:rPr>
          <w:i/>
          <w:iCs/>
        </w:rPr>
        <w:t xml:space="preserve">and</w:t>
      </w:r>
      <w:r>
        <w:rPr>
          <w:i/>
          <w:iCs/>
        </w:rPr>
        <w:t xml:space="preserve"> </w:t>
      </w:r>
      <w:r>
        <w:rPr>
          <w:i/>
          <w:iCs/>
        </w:rPr>
        <w:t xml:space="preserve">Ancient Languages</w:t>
      </w:r>
      <w:r>
        <w:t xml:space="preserve">, edited by Rachele Sprugnoli and Marco Passarotti, 31–37. Marseille, France: European Language Resources Association.</w:t>
      </w:r>
    </w:p>
    <w:bookmarkEnd w:id="152"/>
    <w:bookmarkStart w:id="154" w:name="ref-Baker1996Challenges"/>
    <w:p>
      <w:pPr>
        <w:pStyle w:val="Bibliography"/>
      </w:pPr>
      <w:r>
        <w:t xml:space="preserve">Baker, Mona. 1996.</w:t>
      </w:r>
      <w:r>
        <w:t xml:space="preserve"> </w:t>
      </w:r>
      <w:r>
        <w:t xml:space="preserve">“The Challenges That Lie Ahead:</w:t>
      </w:r>
      <w:r>
        <w:t xml:space="preserve"> </w:t>
      </w:r>
      <w:r>
        <w:t xml:space="preserve">Corpus-based</w:t>
      </w:r>
      <w:r>
        <w:t xml:space="preserve"> </w:t>
      </w:r>
      <w:r>
        <w:t xml:space="preserve">Translation Studies.”</w:t>
      </w:r>
      <w:r>
        <w:t xml:space="preserve"> </w:t>
      </w:r>
      <w:r>
        <w:t xml:space="preserve">In</w:t>
      </w:r>
      <w:r>
        <w:t xml:space="preserve"> </w:t>
      </w:r>
      <w:r>
        <w:rPr>
          <w:i/>
          <w:iCs/>
        </w:rPr>
        <w:t xml:space="preserve">Terminology,</w:t>
      </w:r>
      <w:r>
        <w:rPr>
          <w:i/>
          <w:iCs/>
        </w:rPr>
        <w:t xml:space="preserve"> </w:t>
      </w:r>
      <w:r>
        <w:rPr>
          <w:i/>
          <w:iCs/>
        </w:rPr>
        <w:t xml:space="preserve">LSP</w:t>
      </w:r>
      <w:r>
        <w:rPr>
          <w:i/>
          <w:iCs/>
        </w:rPr>
        <w:t xml:space="preserve"> </w:t>
      </w:r>
      <w:r>
        <w:rPr>
          <w:i/>
          <w:iCs/>
        </w:rPr>
        <w:t xml:space="preserve">and</w:t>
      </w:r>
      <w:r>
        <w:rPr>
          <w:i/>
          <w:iCs/>
        </w:rPr>
        <w:t xml:space="preserve"> </w:t>
      </w:r>
      <w:r>
        <w:rPr>
          <w:i/>
          <w:iCs/>
        </w:rPr>
        <w:t xml:space="preserve">Translation</w:t>
      </w:r>
      <w:r>
        <w:rPr>
          <w:i/>
          <w:iCs/>
        </w:rPr>
        <w:t xml:space="preserve">:</w:t>
      </w:r>
      <w:r>
        <w:rPr>
          <w:i/>
          <w:iCs/>
        </w:rPr>
        <w:t xml:space="preserve"> </w:t>
      </w:r>
      <w:r>
        <w:rPr>
          <w:i/>
          <w:iCs/>
        </w:rPr>
        <w:t xml:space="preserve">Studies</w:t>
      </w:r>
      <w:r>
        <w:rPr>
          <w:i/>
          <w:iCs/>
        </w:rPr>
        <w:t xml:space="preserve"> </w:t>
      </w:r>
      <w:r>
        <w:rPr>
          <w:i/>
          <w:iCs/>
        </w:rPr>
        <w:t xml:space="preserve">in Language Engineering in Honour of</w:t>
      </w:r>
      <w:r>
        <w:rPr>
          <w:i/>
          <w:iCs/>
        </w:rPr>
        <w:t xml:space="preserve"> </w:t>
      </w:r>
      <w:r>
        <w:rPr>
          <w:i/>
          <w:iCs/>
        </w:rPr>
        <w:t xml:space="preserve">Juan C</w:t>
      </w:r>
      <w:r>
        <w:rPr>
          <w:i/>
          <w:iCs/>
        </w:rPr>
        <w:t xml:space="preserve">.</w:t>
      </w:r>
      <w:r>
        <w:rPr>
          <w:i/>
          <w:iCs/>
        </w:rPr>
        <w:t xml:space="preserve"> </w:t>
      </w:r>
      <w:r>
        <w:rPr>
          <w:i/>
          <w:iCs/>
        </w:rPr>
        <w:t xml:space="preserve">Sager</w:t>
      </w:r>
      <w:r>
        <w:t xml:space="preserve">, edited by Harold Somers, 175. Benjamins</w:t>
      </w:r>
      <w:r>
        <w:t xml:space="preserve"> </w:t>
      </w:r>
      <w:r>
        <w:t xml:space="preserve">Translation Library</w:t>
      </w:r>
      <w:r>
        <w:t xml:space="preserve">. John Benjamins Publishing Company.</w:t>
      </w:r>
      <w:r>
        <w:t xml:space="preserve"> </w:t>
      </w:r>
      <w:hyperlink r:id="rId153">
        <w:r>
          <w:rPr>
            <w:rStyle w:val="Hyperlink"/>
          </w:rPr>
          <w:t xml:space="preserve">https://doi.org/10.1075/btl.18.17bak</w:t>
        </w:r>
      </w:hyperlink>
      <w:r>
        <w:t xml:space="preserve">.</w:t>
      </w:r>
    </w:p>
    <w:bookmarkEnd w:id="154"/>
    <w:bookmarkStart w:id="155" w:name="ref-Blum-Kulka1986Shifts"/>
    <w:p>
      <w:pPr>
        <w:pStyle w:val="Bibliography"/>
      </w:pPr>
      <w:r>
        <w:t xml:space="preserve">Blum-Kulka, Shoshana. 1986.</w:t>
      </w:r>
      <w:r>
        <w:t xml:space="preserve"> </w:t>
      </w:r>
      <w:r>
        <w:t xml:space="preserve">“Shifts of</w:t>
      </w:r>
      <w:r>
        <w:t xml:space="preserve"> </w:t>
      </w:r>
      <w:r>
        <w:t xml:space="preserve">Cohesion</w:t>
      </w:r>
      <w:r>
        <w:t xml:space="preserve"> </w:t>
      </w:r>
      <w:r>
        <w:t xml:space="preserve">and</w:t>
      </w:r>
      <w:r>
        <w:t xml:space="preserve"> </w:t>
      </w:r>
      <w:r>
        <w:t xml:space="preserve">Coherence</w:t>
      </w:r>
      <w:r>
        <w:t xml:space="preserve"> </w:t>
      </w:r>
      <w:r>
        <w:t xml:space="preserve">in</w:t>
      </w:r>
      <w:r>
        <w:t xml:space="preserve"> </w:t>
      </w:r>
      <w:r>
        <w:t xml:space="preserve">Translation</w:t>
      </w:r>
      <w:r>
        <w:t xml:space="preserve">.”</w:t>
      </w:r>
      <w:r>
        <w:t xml:space="preserve"> </w:t>
      </w:r>
      <w:r>
        <w:t xml:space="preserve">In</w:t>
      </w:r>
      <w:r>
        <w:t xml:space="preserve"> </w:t>
      </w:r>
      <w:r>
        <w:rPr>
          <w:i/>
          <w:iCs/>
        </w:rPr>
        <w:t xml:space="preserve">Interlingual and</w:t>
      </w:r>
      <w:r>
        <w:rPr>
          <w:i/>
          <w:iCs/>
        </w:rPr>
        <w:t xml:space="preserve"> </w:t>
      </w:r>
      <w:r>
        <w:rPr>
          <w:i/>
          <w:iCs/>
        </w:rPr>
        <w:t xml:space="preserve">Intercultural Communication</w:t>
      </w:r>
      <w:r>
        <w:t xml:space="preserve">, edited by Juliane House and Shoshana Blum-Kulka, 17–35. T</w:t>
      </w:r>
      <w:r>
        <w:t xml:space="preserve">ü</w:t>
      </w:r>
      <w:r>
        <w:t xml:space="preserve">bingen: G</w:t>
      </w:r>
      <w:r>
        <w:t xml:space="preserve">ű</w:t>
      </w:r>
      <w:r>
        <w:t xml:space="preserve">nter Narr.</w:t>
      </w:r>
    </w:p>
    <w:bookmarkEnd w:id="155"/>
    <w:bookmarkStart w:id="157" w:name="ref-Brooks1998General"/>
    <w:p>
      <w:pPr>
        <w:pStyle w:val="Bibliography"/>
      </w:pPr>
      <w:r>
        <w:t xml:space="preserve">Brooks, Stephen P., and Andrew Gelman. 1998.</w:t>
      </w:r>
      <w:r>
        <w:t xml:space="preserve"> </w:t>
      </w:r>
      <w:r>
        <w:t xml:space="preserve">“General</w:t>
      </w:r>
      <w:r>
        <w:t xml:space="preserve"> </w:t>
      </w:r>
      <w:r>
        <w:t xml:space="preserve">Methods</w:t>
      </w:r>
      <w:r>
        <w:t xml:space="preserve"> </w:t>
      </w:r>
      <w:r>
        <w:t xml:space="preserve">for</w:t>
      </w:r>
      <w:r>
        <w:t xml:space="preserve"> </w:t>
      </w:r>
      <w:r>
        <w:t xml:space="preserve">Monitoring Convergence</w:t>
      </w:r>
      <w:r>
        <w:t xml:space="preserve"> </w:t>
      </w:r>
      <w:r>
        <w:t xml:space="preserve">of</w:t>
      </w:r>
      <w:r>
        <w:t xml:space="preserve"> </w:t>
      </w:r>
      <w:r>
        <w:t xml:space="preserve">Iterative Simulations</w:t>
      </w:r>
      <w:r>
        <w:t xml:space="preserve">.”</w:t>
      </w:r>
      <w:r>
        <w:t xml:space="preserve"> </w:t>
      </w:r>
      <w:r>
        <w:rPr>
          <w:i/>
          <w:iCs/>
        </w:rPr>
        <w:t xml:space="preserve">Journal of Computational and Graphical Statistics</w:t>
      </w:r>
      <w:r>
        <w:t xml:space="preserve"> </w:t>
      </w:r>
      <w:r>
        <w:t xml:space="preserve">7 (4): 434–55.</w:t>
      </w:r>
      <w:r>
        <w:t xml:space="preserve"> </w:t>
      </w:r>
      <w:hyperlink r:id="rId156">
        <w:r>
          <w:rPr>
            <w:rStyle w:val="Hyperlink"/>
          </w:rPr>
          <w:t xml:space="preserve">https://doi.org/ggfntd</w:t>
        </w:r>
      </w:hyperlink>
      <w:r>
        <w:t xml:space="preserve">.</w:t>
      </w:r>
    </w:p>
    <w:bookmarkEnd w:id="157"/>
    <w:bookmarkStart w:id="159" w:name="ref-Burkner2017Brms"/>
    <w:p>
      <w:pPr>
        <w:pStyle w:val="Bibliography"/>
      </w:pPr>
      <w:r>
        <w:t xml:space="preserve">Bürkner, Paul-Christian. 2017.</w:t>
      </w:r>
      <w:r>
        <w:t xml:space="preserve"> </w:t>
      </w:r>
      <w:r>
        <w:t xml:space="preserve">“</w:t>
      </w:r>
      <w:r>
        <w:rPr>
          <w:b/>
          <w:bCs/>
        </w:rPr>
        <w:t xml:space="preserve">Brms</w:t>
      </w:r>
      <w:r>
        <w:t xml:space="preserve"> </w:t>
      </w:r>
      <w:r>
        <w:t xml:space="preserve">:</w:t>
      </w:r>
      <w:r>
        <w:t xml:space="preserve"> </w:t>
      </w:r>
      <w:r>
        <w:t xml:space="preserve">An</w:t>
      </w:r>
      <w:r>
        <w:t xml:space="preserve"> </w:t>
      </w:r>
      <w:r>
        <w:rPr>
          <w:i/>
          <w:iCs/>
        </w:rPr>
        <w:t xml:space="preserve">R</w:t>
      </w:r>
      <w:r>
        <w:t xml:space="preserve"> </w:t>
      </w:r>
      <w:r>
        <w:t xml:space="preserve">Package</w:t>
      </w:r>
      <w:r>
        <w:t xml:space="preserve"> </w:t>
      </w:r>
      <w:r>
        <w:t xml:space="preserve">for</w:t>
      </w:r>
      <w:r>
        <w:t xml:space="preserve"> </w:t>
      </w:r>
      <w:r>
        <w:t xml:space="preserve">Bayesian Multilevel Models Using</w:t>
      </w:r>
      <w:r>
        <w:t xml:space="preserve"> </w:t>
      </w:r>
      <w:r>
        <w:rPr>
          <w:i/>
          <w:iCs/>
        </w:rPr>
        <w:t xml:space="preserve">Stan</w:t>
      </w:r>
      <w:r>
        <w:t xml:space="preserve">.”</w:t>
      </w:r>
      <w:r>
        <w:t xml:space="preserve"> </w:t>
      </w:r>
      <w:r>
        <w:rPr>
          <w:i/>
          <w:iCs/>
        </w:rPr>
        <w:t xml:space="preserve">Journal of Statistical Software</w:t>
      </w:r>
      <w:r>
        <w:t xml:space="preserve"> </w:t>
      </w:r>
      <w:r>
        <w:t xml:space="preserve">80 (1).</w:t>
      </w:r>
      <w:r>
        <w:t xml:space="preserve"> </w:t>
      </w:r>
      <w:hyperlink r:id="rId158">
        <w:r>
          <w:rPr>
            <w:rStyle w:val="Hyperlink"/>
          </w:rPr>
          <w:t xml:space="preserve">https://doi.org/10.18637/jss.v080.i01</w:t>
        </w:r>
      </w:hyperlink>
      <w:r>
        <w:t xml:space="preserve">.</w:t>
      </w:r>
    </w:p>
    <w:bookmarkEnd w:id="159"/>
    <w:bookmarkStart w:id="160" w:name="ref-Camilleri2024Evaluating"/>
    <w:p>
      <w:pPr>
        <w:pStyle w:val="Bibliography"/>
      </w:pPr>
      <w:r>
        <w:t xml:space="preserve">Camilleri, Gabriele. 2024.</w:t>
      </w:r>
      <w:r>
        <w:t xml:space="preserve"> </w:t>
      </w:r>
      <w:r>
        <w:t xml:space="preserve">“Evaluating</w:t>
      </w:r>
      <w:r>
        <w:t xml:space="preserve"> </w:t>
      </w:r>
      <w:r>
        <w:t xml:space="preserve">Word Alignment Strategies</w:t>
      </w:r>
      <w:r>
        <w:t xml:space="preserve"> </w:t>
      </w:r>
      <w:r>
        <w:t xml:space="preserve">in a</w:t>
      </w:r>
      <w:r>
        <w:t xml:space="preserve"> </w:t>
      </w:r>
      <w:r>
        <w:t xml:space="preserve">Japanese-Italian Translation Corpus</w:t>
      </w:r>
      <w:r>
        <w:t xml:space="preserve">.”</w:t>
      </w:r>
      <w:r>
        <w:t xml:space="preserve"> </w:t>
      </w:r>
      <w:r>
        <w:rPr>
          <w:i/>
          <w:iCs/>
        </w:rPr>
        <w:t xml:space="preserve">Proceedings of JADH Conference</w:t>
      </w:r>
      <w:r>
        <w:t xml:space="preserve"> </w:t>
      </w:r>
      <w:r>
        <w:t xml:space="preserve">2024: 26–28.</w:t>
      </w:r>
    </w:p>
    <w:bookmarkEnd w:id="160"/>
    <w:bookmarkStart w:id="162" w:name="ref-Carl2017Measuring"/>
    <w:p>
      <w:pPr>
        <w:pStyle w:val="Bibliography"/>
      </w:pPr>
      <w:r>
        <w:t xml:space="preserve">Carl, Michael, and Moritz Schaeffer. 2017.</w:t>
      </w:r>
      <w:r>
        <w:t xml:space="preserve"> </w:t>
      </w:r>
      <w:r>
        <w:t xml:space="preserve">“Measuring</w:t>
      </w:r>
      <w:r>
        <w:t xml:space="preserve"> </w:t>
      </w:r>
      <w:r>
        <w:t xml:space="preserve">Translation Literality</w:t>
      </w:r>
      <w:r>
        <w:t xml:space="preserve">.”</w:t>
      </w:r>
      <w:r>
        <w:t xml:space="preserve"> </w:t>
      </w:r>
      <w:r>
        <w:t xml:space="preserve">In</w:t>
      </w:r>
      <w:r>
        <w:t xml:space="preserve"> </w:t>
      </w:r>
      <w:r>
        <w:rPr>
          <w:i/>
          <w:iCs/>
        </w:rPr>
        <w:t xml:space="preserve">Translation in</w:t>
      </w:r>
      <w:r>
        <w:rPr>
          <w:i/>
          <w:iCs/>
        </w:rPr>
        <w:t xml:space="preserve"> </w:t>
      </w:r>
      <w:r>
        <w:rPr>
          <w:i/>
          <w:iCs/>
        </w:rPr>
        <w:t xml:space="preserve">Transition</w:t>
      </w:r>
      <w:r>
        <w:rPr>
          <w:i/>
          <w:iCs/>
        </w:rPr>
        <w:t xml:space="preserve">:</w:t>
      </w:r>
      <w:r>
        <w:rPr>
          <w:i/>
          <w:iCs/>
        </w:rPr>
        <w:t xml:space="preserve"> </w:t>
      </w:r>
      <w:r>
        <w:rPr>
          <w:i/>
          <w:iCs/>
        </w:rPr>
        <w:t xml:space="preserve">Between Cognition</w:t>
      </w:r>
      <w:r>
        <w:rPr>
          <w:i/>
          <w:iCs/>
        </w:rPr>
        <w:t xml:space="preserve">,</w:t>
      </w:r>
      <w:r>
        <w:rPr>
          <w:i/>
          <w:iCs/>
        </w:rPr>
        <w:t xml:space="preserve"> </w:t>
      </w:r>
      <w:r>
        <w:rPr>
          <w:i/>
          <w:iCs/>
        </w:rPr>
        <w:t xml:space="preserve">Computing</w:t>
      </w:r>
      <w:r>
        <w:rPr>
          <w:i/>
          <w:iCs/>
        </w:rPr>
        <w:t xml:space="preserve"> </w:t>
      </w:r>
      <w:r>
        <w:rPr>
          <w:i/>
          <w:iCs/>
        </w:rPr>
        <w:t xml:space="preserve">and</w:t>
      </w:r>
      <w:r>
        <w:rPr>
          <w:i/>
          <w:iCs/>
        </w:rPr>
        <w:t xml:space="preserve"> </w:t>
      </w:r>
      <w:r>
        <w:rPr>
          <w:i/>
          <w:iCs/>
        </w:rPr>
        <w:t xml:space="preserve">Technology</w:t>
      </w:r>
      <w:r>
        <w:t xml:space="preserve">, 81–105. John Benjamins Publishing Company.</w:t>
      </w:r>
      <w:r>
        <w:t xml:space="preserve"> </w:t>
      </w:r>
      <w:hyperlink r:id="rId161">
        <w:r>
          <w:rPr>
            <w:rStyle w:val="Hyperlink"/>
          </w:rPr>
          <w:t xml:space="preserve">https://doi.org/10.1075/btl.133.03car</w:t>
        </w:r>
      </w:hyperlink>
      <w:r>
        <w:t xml:space="preserve">.</w:t>
      </w:r>
    </w:p>
    <w:bookmarkEnd w:id="162"/>
    <w:bookmarkStart w:id="164" w:name="ref-Chen2024Translationbased"/>
    <w:p>
      <w:pPr>
        <w:pStyle w:val="Bibliography"/>
      </w:pPr>
      <w:r>
        <w:t xml:space="preserve">Chen, Xudong, Hilofumi Yamamoto, and Bor Hodošček. 2024.</w:t>
      </w:r>
      <w:r>
        <w:t xml:space="preserve"> </w:t>
      </w:r>
      <w:r>
        <w:t xml:space="preserve">“Translation-Based Connotation Visualization for Classical Poetic</w:t>
      </w:r>
      <w:r>
        <w:t xml:space="preserve"> </w:t>
      </w:r>
      <w:r>
        <w:t xml:space="preserve">Japanese</w:t>
      </w:r>
      <w:r>
        <w:t xml:space="preserve"> </w:t>
      </w:r>
      <w:r>
        <w:t xml:space="preserve">Vocabulary of the</w:t>
      </w:r>
      <w:r>
        <w:t xml:space="preserve"> </w:t>
      </w:r>
      <w:r>
        <w:t xml:space="preserve">Kokin Wakash</w:t>
      </w:r>
      <w:r>
        <w:t xml:space="preserve">ū</w:t>
      </w:r>
      <w:r>
        <w:t xml:space="preserve"> </w:t>
      </w:r>
      <w:r>
        <w:t xml:space="preserve">Ca. 905.”</w:t>
      </w:r>
      <w:r>
        <w:t xml:space="preserve"> </w:t>
      </w:r>
      <w:r>
        <w:rPr>
          <w:i/>
          <w:iCs/>
        </w:rPr>
        <w:t xml:space="preserve">Journal of Computational Literary Studies</w:t>
      </w:r>
      <w:r>
        <w:t xml:space="preserve"> </w:t>
      </w:r>
      <w:r>
        <w:t xml:space="preserve">2 (1): 1–32.</w:t>
      </w:r>
      <w:r>
        <w:t xml:space="preserve"> </w:t>
      </w:r>
      <w:hyperlink r:id="rId163">
        <w:r>
          <w:rPr>
            <w:rStyle w:val="Hyperlink"/>
          </w:rPr>
          <w:t xml:space="preserve">https://doi.org/10.48694/jcls.3596</w:t>
        </w:r>
      </w:hyperlink>
      <w:r>
        <w:t xml:space="preserve">.</w:t>
      </w:r>
    </w:p>
    <w:bookmarkEnd w:id="164"/>
    <w:bookmarkStart w:id="166" w:name="ref-Chesterman2004Hypotheses"/>
    <w:p>
      <w:pPr>
        <w:pStyle w:val="Bibliography"/>
      </w:pPr>
      <w:r>
        <w:t xml:space="preserve">Chesterman, Andrew. 2004.</w:t>
      </w:r>
      <w:r>
        <w:t xml:space="preserve"> </w:t>
      </w:r>
      <w:r>
        <w:t xml:space="preserve">“Hypotheses about Translation Universals.”</w:t>
      </w:r>
      <w:r>
        <w:t xml:space="preserve"> </w:t>
      </w:r>
      <w:r>
        <w:t xml:space="preserve">In</w:t>
      </w:r>
      <w:r>
        <w:t xml:space="preserve"> </w:t>
      </w:r>
      <w:r>
        <w:rPr>
          <w:i/>
          <w:iCs/>
        </w:rPr>
        <w:t xml:space="preserve">Benjamins</w:t>
      </w:r>
      <w:r>
        <w:rPr>
          <w:i/>
          <w:iCs/>
        </w:rPr>
        <w:t xml:space="preserve"> </w:t>
      </w:r>
      <w:r>
        <w:rPr>
          <w:i/>
          <w:iCs/>
        </w:rPr>
        <w:t xml:space="preserve">Translation Library</w:t>
      </w:r>
      <w:r>
        <w:t xml:space="preserve">, edited by Gyde Hansen, Kirsten Malmkjaer, and Daniel Gile, 50:1–13. Amsterdam: John Benjamins Publishing Company.</w:t>
      </w:r>
      <w:r>
        <w:t xml:space="preserve"> </w:t>
      </w:r>
      <w:hyperlink r:id="rId165">
        <w:r>
          <w:rPr>
            <w:rStyle w:val="Hyperlink"/>
          </w:rPr>
          <w:t xml:space="preserve">https://doi.org/10.1075/btl.50.02che</w:t>
        </w:r>
      </w:hyperlink>
      <w:r>
        <w:t xml:space="preserve">.</w:t>
      </w:r>
    </w:p>
    <w:bookmarkEnd w:id="166"/>
    <w:bookmarkStart w:id="167" w:name="ref-Chesterman2010Why"/>
    <w:p>
      <w:pPr>
        <w:pStyle w:val="Bibliography"/>
      </w:pPr>
      <w:r>
        <w:t xml:space="preserve">———. 2010.</w:t>
      </w:r>
      <w:r>
        <w:t xml:space="preserve"> </w:t>
      </w:r>
      <w:r>
        <w:t xml:space="preserve">“Why Study Translation Universals?”</w:t>
      </w:r>
      <w:r>
        <w:t xml:space="preserve"> In</w:t>
      </w:r>
      <w:r>
        <w:t xml:space="preserve"> </w:t>
      </w:r>
      <w:r>
        <w:rPr>
          <w:i/>
          <w:iCs/>
        </w:rPr>
        <w:t xml:space="preserve">Kiasm</w:t>
      </w:r>
      <w:r>
        <w:t xml:space="preserve">, edited by Ritva Hartama-Heinonen and Pirjo Kukkonen, 38–48. Acta</w:t>
      </w:r>
      <w:r>
        <w:t xml:space="preserve"> </w:t>
      </w:r>
      <w:r>
        <w:t xml:space="preserve">Translatologica Helsingiensia</w:t>
      </w:r>
      <w:r>
        <w:t xml:space="preserve"> </w:t>
      </w:r>
      <w:r>
        <w:t xml:space="preserve">(</w:t>
      </w:r>
      <w:r>
        <w:t xml:space="preserve">ATH</w:t>
      </w:r>
      <w:r>
        <w:t xml:space="preserve">). Helsinki: Helsingfors universitet, Nordica.</w:t>
      </w:r>
    </w:p>
    <w:bookmarkEnd w:id="167"/>
    <w:bookmarkStart w:id="169" w:name="ref-Chesterman2011Reflections"/>
    <w:p>
      <w:pPr>
        <w:pStyle w:val="Bibliography"/>
      </w:pPr>
      <w:r>
        <w:t xml:space="preserve">———. 2011.</w:t>
      </w:r>
      <w:r>
        <w:t xml:space="preserve"> </w:t>
      </w:r>
      <w:r>
        <w:t xml:space="preserve">“Reflections on the Literal Translation Hypothesis.”</w:t>
      </w:r>
      <w:r>
        <w:t xml:space="preserve"> </w:t>
      </w:r>
      <w:r>
        <w:t xml:space="preserve">In</w:t>
      </w:r>
      <w:r>
        <w:t xml:space="preserve"> </w:t>
      </w:r>
      <w:r>
        <w:rPr>
          <w:i/>
          <w:iCs/>
        </w:rPr>
        <w:t xml:space="preserve">Methods and</w:t>
      </w:r>
      <w:r>
        <w:rPr>
          <w:i/>
          <w:iCs/>
        </w:rPr>
        <w:t xml:space="preserve"> </w:t>
      </w:r>
      <w:r>
        <w:rPr>
          <w:i/>
          <w:iCs/>
        </w:rPr>
        <w:t xml:space="preserve">Strategies</w:t>
      </w:r>
      <w:r>
        <w:rPr>
          <w:i/>
          <w:iCs/>
        </w:rPr>
        <w:t xml:space="preserve"> </w:t>
      </w:r>
      <w:r>
        <w:rPr>
          <w:i/>
          <w:iCs/>
        </w:rPr>
        <w:t xml:space="preserve">of</w:t>
      </w:r>
      <w:r>
        <w:rPr>
          <w:i/>
          <w:iCs/>
        </w:rPr>
        <w:t xml:space="preserve"> </w:t>
      </w:r>
      <w:r>
        <w:rPr>
          <w:i/>
          <w:iCs/>
        </w:rPr>
        <w:t xml:space="preserve">Process Research</w:t>
      </w:r>
      <w:r>
        <w:rPr>
          <w:i/>
          <w:iCs/>
        </w:rPr>
        <w:t xml:space="preserve">:</w:t>
      </w:r>
      <w:r>
        <w:rPr>
          <w:i/>
          <w:iCs/>
        </w:rPr>
        <w:t xml:space="preserve"> </w:t>
      </w:r>
      <w:r>
        <w:rPr>
          <w:i/>
          <w:iCs/>
        </w:rPr>
        <w:t xml:space="preserve">Integrative</w:t>
      </w:r>
      <w:r>
        <w:rPr>
          <w:i/>
          <w:iCs/>
        </w:rPr>
        <w:t xml:space="preserve"> </w:t>
      </w:r>
      <w:r>
        <w:rPr>
          <w:i/>
          <w:iCs/>
        </w:rPr>
        <w:t xml:space="preserve">Approaches in</w:t>
      </w:r>
      <w:r>
        <w:rPr>
          <w:i/>
          <w:iCs/>
        </w:rPr>
        <w:t xml:space="preserve"> </w:t>
      </w:r>
      <w:r>
        <w:rPr>
          <w:i/>
          <w:iCs/>
        </w:rPr>
        <w:t xml:space="preserve">Translation Studies</w:t>
      </w:r>
      <w:r>
        <w:t xml:space="preserve">, edited by Cecilia Alvstad, Adelina Hild, and Elisabet Tiselius, 23–35. Benjamins</w:t>
      </w:r>
      <w:r>
        <w:t xml:space="preserve"> </w:t>
      </w:r>
      <w:r>
        <w:t xml:space="preserve">Translation Library</w:t>
      </w:r>
      <w:r>
        <w:t xml:space="preserve">. John Benjamins Publishing Company.</w:t>
      </w:r>
      <w:r>
        <w:t xml:space="preserve"> </w:t>
      </w:r>
      <w:hyperlink r:id="rId168">
        <w:r>
          <w:rPr>
            <w:rStyle w:val="Hyperlink"/>
          </w:rPr>
          <w:t xml:space="preserve">https://doi.org/10.1075/btl.94.05che</w:t>
        </w:r>
      </w:hyperlink>
      <w:r>
        <w:t xml:space="preserve">.</w:t>
      </w:r>
    </w:p>
    <w:bookmarkEnd w:id="169"/>
    <w:bookmarkStart w:id="171" w:name="ref-Edina2016Translation"/>
    <w:p>
      <w:pPr>
        <w:pStyle w:val="Bibliography"/>
      </w:pPr>
      <w:r>
        <w:t xml:space="preserve">Edina, Robin. 2016.</w:t>
      </w:r>
      <w:r>
        <w:t xml:space="preserve"> </w:t>
      </w:r>
      <w:r>
        <w:t xml:space="preserve">“Translation</w:t>
      </w:r>
      <w:r>
        <w:t xml:space="preserve"> </w:t>
      </w:r>
      <w:r>
        <w:t xml:space="preserve">Universals Revisited</w:t>
      </w:r>
      <w:r>
        <w:t xml:space="preserve">.”</w:t>
      </w:r>
      <w:r>
        <w:t xml:space="preserve"> </w:t>
      </w:r>
      <w:r>
        <w:rPr>
          <w:i/>
          <w:iCs/>
        </w:rPr>
        <w:t xml:space="preserve">FORUM</w:t>
      </w:r>
      <w:r>
        <w:t xml:space="preserve"> </w:t>
      </w:r>
      <w:r>
        <w:t xml:space="preserve">15 (January).</w:t>
      </w:r>
      <w:r>
        <w:t xml:space="preserve"> </w:t>
      </w:r>
      <w:hyperlink r:id="rId170">
        <w:r>
          <w:rPr>
            <w:rStyle w:val="Hyperlink"/>
          </w:rPr>
          <w:t xml:space="preserve">https://doi.org/10.1075/forum.15.1.03rob</w:t>
        </w:r>
      </w:hyperlink>
      <w:r>
        <w:t xml:space="preserve">.</w:t>
      </w:r>
    </w:p>
    <w:bookmarkEnd w:id="171"/>
    <w:bookmarkStart w:id="172" w:name="ref-Firth1968Selected"/>
    <w:p>
      <w:pPr>
        <w:pStyle w:val="Bibliography"/>
      </w:pPr>
      <w:r>
        <w:t xml:space="preserve">Firth, John Rupert. 1968.</w:t>
      </w:r>
      <w:r>
        <w:t xml:space="preserve"> </w:t>
      </w:r>
      <w:r>
        <w:rPr>
          <w:i/>
          <w:iCs/>
        </w:rPr>
        <w:t xml:space="preserve">Selected Papers, 1952-59</w:t>
      </w:r>
      <w:r>
        <w:t xml:space="preserve">. Edited by Frank Robert Palmer. Harlow: Prentice Hall Press.</w:t>
      </w:r>
    </w:p>
    <w:bookmarkEnd w:id="172"/>
    <w:bookmarkStart w:id="173" w:name="ref-Hodoscek2022Developmenta"/>
    <w:p>
      <w:pPr>
        <w:pStyle w:val="Bibliography"/>
      </w:pPr>
      <w:r>
        <w:t xml:space="preserve">Hodošček, Bor, and Hilofumi Yamamoto. 2022.</w:t>
      </w:r>
      <w:r>
        <w:t xml:space="preserve"> </w:t>
      </w:r>
      <w:r>
        <w:t xml:space="preserve">“Development of Datasets of the</w:t>
      </w:r>
      <w:r>
        <w:t xml:space="preserve"> </w:t>
      </w:r>
      <w:r>
        <w:t xml:space="preserve">Hachidaish</w:t>
      </w:r>
      <w:r>
        <w:t xml:space="preserve">ū</w:t>
      </w:r>
      <w:r>
        <w:t xml:space="preserve"> </w:t>
      </w:r>
      <w:r>
        <w:t xml:space="preserve">and Tools for the Understanding of the Characteristics and Historical Evolution of Classical</w:t>
      </w:r>
      <w:r>
        <w:t xml:space="preserve"> </w:t>
      </w:r>
      <w:r>
        <w:t xml:space="preserve">Japanese</w:t>
      </w:r>
      <w:r>
        <w:t xml:space="preserve"> </w:t>
      </w:r>
      <w:r>
        <w:t xml:space="preserve">Poetic Vocabulary.”</w:t>
      </w:r>
      <w:r>
        <w:t xml:space="preserve"> </w:t>
      </w:r>
      <w:r>
        <w:t xml:space="preserve">In</w:t>
      </w:r>
      <w:r>
        <w:t xml:space="preserve"> </w:t>
      </w:r>
      <w:r>
        <w:rPr>
          <w:i/>
          <w:iCs/>
        </w:rPr>
        <w:t xml:space="preserve">Digital</w:t>
      </w:r>
      <w:r>
        <w:rPr>
          <w:i/>
          <w:iCs/>
        </w:rPr>
        <w:t xml:space="preserve"> </w:t>
      </w:r>
      <w:r>
        <w:rPr>
          <w:i/>
          <w:iCs/>
        </w:rPr>
        <w:t xml:space="preserve">Humanities</w:t>
      </w:r>
      <w:r>
        <w:rPr>
          <w:i/>
          <w:iCs/>
        </w:rPr>
        <w:t xml:space="preserve"> </w:t>
      </w:r>
      <w:r>
        <w:rPr>
          <w:i/>
          <w:iCs/>
        </w:rPr>
        <w:t xml:space="preserve">2022</w:t>
      </w:r>
      <w:r>
        <w:rPr>
          <w:i/>
          <w:iCs/>
        </w:rPr>
        <w:t xml:space="preserve"> </w:t>
      </w:r>
      <w:r>
        <w:rPr>
          <w:i/>
          <w:iCs/>
        </w:rPr>
        <w:t xml:space="preserve">Conference Abstracts</w:t>
      </w:r>
      <w:r>
        <w:t xml:space="preserve">, 647–48. Tokyo: The University of Tokyo.</w:t>
      </w:r>
    </w:p>
    <w:bookmarkEnd w:id="173"/>
    <w:bookmarkStart w:id="174" w:name="ref-Koller1979Einfuehrung"/>
    <w:p>
      <w:pPr>
        <w:pStyle w:val="Bibliography"/>
      </w:pPr>
      <w:r>
        <w:t xml:space="preserve">Koller, Werner. [2004] 1979.</w:t>
      </w:r>
      <w:r>
        <w:t xml:space="preserve"> </w:t>
      </w:r>
      <w:r>
        <w:rPr>
          <w:i/>
          <w:iCs/>
        </w:rPr>
        <w:t xml:space="preserve">Einf</w:t>
      </w:r>
      <w:r>
        <w:rPr>
          <w:i/>
          <w:iCs/>
        </w:rPr>
        <w:t xml:space="preserve">ü</w:t>
      </w:r>
      <w:r>
        <w:rPr>
          <w:i/>
          <w:iCs/>
        </w:rPr>
        <w:t xml:space="preserve">hrung in die</w:t>
      </w:r>
      <w:r>
        <w:rPr>
          <w:i/>
          <w:iCs/>
        </w:rPr>
        <w:t xml:space="preserve"> </w:t>
      </w:r>
      <w:r>
        <w:rPr>
          <w:i/>
          <w:iCs/>
        </w:rPr>
        <w:t xml:space="preserve">Ü</w:t>
      </w:r>
      <w:r>
        <w:rPr>
          <w:i/>
          <w:iCs/>
        </w:rPr>
        <w:t xml:space="preserve">bersetzungswissenschaft</w:t>
      </w:r>
      <w:r>
        <w:t xml:space="preserve">. 7., aktualisierte Aufl. Wiebelsheim: Quelle und Meyer.</w:t>
      </w:r>
    </w:p>
    <w:bookmarkEnd w:id="174"/>
    <w:bookmarkStart w:id="175" w:name="ref-Malmkjaer2008Unit"/>
    <w:p>
      <w:pPr>
        <w:pStyle w:val="Bibliography"/>
      </w:pPr>
      <w:r>
        <w:t xml:space="preserve">Malmkjær, Kirsten. 2008.</w:t>
      </w:r>
      <w:r>
        <w:t xml:space="preserve"> </w:t>
      </w:r>
      <w:r>
        <w:t xml:space="preserve">“Unit of</w:t>
      </w:r>
      <w:r>
        <w:t xml:space="preserve"> </w:t>
      </w:r>
      <w:r>
        <w:t xml:space="preserve">Translation</w:t>
      </w:r>
      <w:r>
        <w:t xml:space="preserve">.”</w:t>
      </w:r>
      <w:r>
        <w:t xml:space="preserve"> </w:t>
      </w:r>
      <w:r>
        <w:t xml:space="preserve">In</w:t>
      </w:r>
      <w:r>
        <w:t xml:space="preserve"> </w:t>
      </w:r>
      <w:r>
        <w:rPr>
          <w:i/>
          <w:iCs/>
        </w:rPr>
        <w:t xml:space="preserve">Routledge</w:t>
      </w:r>
      <w:r>
        <w:rPr>
          <w:i/>
          <w:iCs/>
        </w:rPr>
        <w:t xml:space="preserve"> </w:t>
      </w:r>
      <w:r>
        <w:rPr>
          <w:i/>
          <w:iCs/>
        </w:rPr>
        <w:t xml:space="preserve">Encyclopedia</w:t>
      </w:r>
      <w:r>
        <w:rPr>
          <w:i/>
          <w:iCs/>
        </w:rPr>
        <w:t xml:space="preserve"> </w:t>
      </w:r>
      <w:r>
        <w:rPr>
          <w:i/>
          <w:iCs/>
        </w:rPr>
        <w:t xml:space="preserve">of</w:t>
      </w:r>
      <w:r>
        <w:rPr>
          <w:i/>
          <w:iCs/>
        </w:rPr>
        <w:t xml:space="preserve"> </w:t>
      </w:r>
      <w:r>
        <w:rPr>
          <w:i/>
          <w:iCs/>
        </w:rPr>
        <w:t xml:space="preserve">Translation Studies</w:t>
      </w:r>
      <w:r>
        <w:t xml:space="preserve">, edited by Mona Baker and Kirsten Malmkjaer, 286–88. London: Routledge.</w:t>
      </w:r>
    </w:p>
    <w:bookmarkEnd w:id="175"/>
    <w:bookmarkStart w:id="176" w:name="ref-Nida1964Science"/>
    <w:p>
      <w:pPr>
        <w:pStyle w:val="Bibliography"/>
      </w:pPr>
      <w:r>
        <w:t xml:space="preserve">Nida, Eugene Albert. 1964.</w:t>
      </w:r>
      <w:r>
        <w:t xml:space="preserve"> </w:t>
      </w:r>
      <w:r>
        <w:rPr>
          <w:i/>
          <w:iCs/>
        </w:rPr>
        <w:t xml:space="preserve">Toward a</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Translating</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Procedures Involved</w:t>
      </w:r>
      <w:r>
        <w:rPr>
          <w:i/>
          <w:iCs/>
        </w:rPr>
        <w:t xml:space="preserve"> </w:t>
      </w:r>
      <w:r>
        <w:rPr>
          <w:i/>
          <w:iCs/>
        </w:rPr>
        <w:t xml:space="preserve">in</w:t>
      </w:r>
      <w:r>
        <w:rPr>
          <w:i/>
          <w:iCs/>
        </w:rPr>
        <w:t xml:space="preserve"> </w:t>
      </w:r>
      <w:r>
        <w:rPr>
          <w:i/>
          <w:iCs/>
        </w:rPr>
        <w:t xml:space="preserve">Bible Translating</w:t>
      </w:r>
      <w:r>
        <w:t xml:space="preserve">. Brill Archive.</w:t>
      </w:r>
    </w:p>
    <w:bookmarkEnd w:id="176"/>
    <w:bookmarkStart w:id="177" w:name="ref-Nida1969Theory"/>
    <w:p>
      <w:pPr>
        <w:pStyle w:val="Bibliography"/>
      </w:pPr>
      <w:r>
        <w:t xml:space="preserve">Nida, Eugene Albert, and Charles Russell Taber. [1982] 1969.</w:t>
      </w:r>
      <w:r>
        <w:t xml:space="preserve"> </w:t>
      </w:r>
      <w:r>
        <w:rPr>
          <w:i/>
          <w:iCs/>
        </w:rPr>
        <w:t xml:space="preserve">The</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of</w:t>
      </w:r>
      <w:r>
        <w:rPr>
          <w:i/>
          <w:iCs/>
        </w:rPr>
        <w:t xml:space="preserve"> </w:t>
      </w:r>
      <w:r>
        <w:rPr>
          <w:i/>
          <w:iCs/>
        </w:rPr>
        <w:t xml:space="preserve">Translation</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Bible Translating</w:t>
      </w:r>
      <w:r>
        <w:t xml:space="preserve">. Reprint edition. Leiden: Brill Academic Pub.</w:t>
      </w:r>
    </w:p>
    <w:bookmarkEnd w:id="177"/>
    <w:bookmarkStart w:id="178" w:name="ref-Nunan1993Introducing"/>
    <w:p>
      <w:pPr>
        <w:pStyle w:val="Bibliography"/>
      </w:pPr>
      <w:r>
        <w:t xml:space="preserve">Nunan, David. 1993.</w:t>
      </w:r>
      <w:r>
        <w:t xml:space="preserve"> </w:t>
      </w:r>
      <w:r>
        <w:rPr>
          <w:i/>
          <w:iCs/>
        </w:rPr>
        <w:t xml:space="preserve">Introducing Discourse Analysis</w:t>
      </w:r>
      <w:r>
        <w:t xml:space="preserve">. 1. publ. Penguin</w:t>
      </w:r>
      <w:r>
        <w:t xml:space="preserve"> </w:t>
      </w:r>
      <w:r>
        <w:t xml:space="preserve">English</w:t>
      </w:r>
      <w:r>
        <w:t xml:space="preserve"> </w:t>
      </w:r>
      <w:r>
        <w:t xml:space="preserve">Applied Linguistics. London: Penguin English.</w:t>
      </w:r>
    </w:p>
    <w:bookmarkEnd w:id="178"/>
    <w:bookmarkStart w:id="180" w:name="ref-Palladino2022Using"/>
    <w:p>
      <w:pPr>
        <w:pStyle w:val="Bibliography"/>
      </w:pPr>
      <w:r>
        <w:t xml:space="preserve">Palladino, Chiara, Farnoosh Shamsian, and Tariq Yousef. 2022.</w:t>
      </w:r>
      <w:r>
        <w:t xml:space="preserve"> </w:t>
      </w:r>
      <w:r>
        <w:t xml:space="preserve">“Using</w:t>
      </w:r>
      <w:r>
        <w:t xml:space="preserve"> </w:t>
      </w:r>
      <w:r>
        <w:t xml:space="preserve">Parallel Corpora</w:t>
      </w:r>
      <w:r>
        <w:t xml:space="preserve"> </w:t>
      </w:r>
      <w:r>
        <w:t xml:space="preserve">to</w:t>
      </w:r>
      <w:r>
        <w:t xml:space="preserve"> </w:t>
      </w:r>
      <w:r>
        <w:t xml:space="preserve">Evaluate Translations</w:t>
      </w:r>
      <w:r>
        <w:t xml:space="preserve"> </w:t>
      </w:r>
      <w:r>
        <w:t xml:space="preserve">of</w:t>
      </w:r>
      <w:r>
        <w:t xml:space="preserve"> </w:t>
      </w:r>
      <w:r>
        <w:t xml:space="preserve">Ancient Greek Literary Texts</w:t>
      </w:r>
      <w:r>
        <w:t xml:space="preserve">.</w:t>
      </w:r>
      <w:r>
        <w:t xml:space="preserve"> </w:t>
      </w:r>
      <w:r>
        <w:t xml:space="preserve">An Application</w:t>
      </w:r>
      <w:r>
        <w:t xml:space="preserve"> </w:t>
      </w:r>
      <w:r>
        <w:t xml:space="preserve">of</w:t>
      </w:r>
      <w:r>
        <w:t xml:space="preserve"> </w:t>
      </w:r>
      <w:r>
        <w:t xml:space="preserve">Text Alignment</w:t>
      </w:r>
      <w:r>
        <w:t xml:space="preserve"> </w:t>
      </w:r>
      <w:r>
        <w:t xml:space="preserve">for</w:t>
      </w:r>
      <w:r>
        <w:t xml:space="preserve"> </w:t>
      </w:r>
      <w:r>
        <w:t xml:space="preserve">Digital Philology Research</w:t>
      </w:r>
      <w:r>
        <w:t xml:space="preserve">.”</w:t>
      </w:r>
      <w:r>
        <w:t xml:space="preserve"> </w:t>
      </w:r>
      <w:r>
        <w:rPr>
          <w:i/>
          <w:iCs/>
        </w:rPr>
        <w:t xml:space="preserve">Journal of Computational Literary Studies</w:t>
      </w:r>
      <w:r>
        <w:t xml:space="preserve"> </w:t>
      </w:r>
      <w:r>
        <w:t xml:space="preserve">1 (1).</w:t>
      </w:r>
      <w:r>
        <w:t xml:space="preserve"> </w:t>
      </w:r>
      <w:hyperlink r:id="rId179">
        <w:r>
          <w:rPr>
            <w:rStyle w:val="Hyperlink"/>
          </w:rPr>
          <w:t xml:space="preserve">https://doi.org/10.48694/jcls.100</w:t>
        </w:r>
      </w:hyperlink>
      <w:r>
        <w:t xml:space="preserve">.</w:t>
      </w:r>
    </w:p>
    <w:bookmarkEnd w:id="180"/>
    <w:bookmarkStart w:id="182" w:name="ref-Pym2008Tourys"/>
    <w:p>
      <w:pPr>
        <w:pStyle w:val="Bibliography"/>
      </w:pPr>
      <w:r>
        <w:t xml:space="preserve">Pym, Anthony. 2008.</w:t>
      </w:r>
      <w:r>
        <w:t xml:space="preserve"> </w:t>
      </w:r>
      <w:r>
        <w:t xml:space="preserve">“On</w:t>
      </w:r>
      <w:r>
        <w:t xml:space="preserve"> </w:t>
      </w:r>
      <w:r>
        <w:t xml:space="preserve">Toury</w:t>
      </w:r>
      <w:r>
        <w:t xml:space="preserve">’s Laws of How Translators Translate.”</w:t>
      </w:r>
      <w:r>
        <w:t xml:space="preserve"> </w:t>
      </w:r>
      <w:r>
        <w:t xml:space="preserve">In</w:t>
      </w:r>
      <w:r>
        <w:t xml:space="preserve"> </w:t>
      </w:r>
      <w:r>
        <w:rPr>
          <w:i/>
          <w:iCs/>
        </w:rPr>
        <w:t xml:space="preserve">Beyond</w:t>
      </w:r>
      <w:r>
        <w:rPr>
          <w:i/>
          <w:iCs/>
        </w:rPr>
        <w:t xml:space="preserve"> </w:t>
      </w:r>
      <w:r>
        <w:rPr>
          <w:i/>
          <w:iCs/>
        </w:rPr>
        <w:t xml:space="preserve">Descriptive Translation Studies</w:t>
      </w:r>
      <w:r>
        <w:rPr>
          <w:i/>
          <w:iCs/>
        </w:rPr>
        <w:t xml:space="preserve">:</w:t>
      </w:r>
      <w:r>
        <w:rPr>
          <w:i/>
          <w:iCs/>
        </w:rPr>
        <w:t xml:space="preserve"> </w:t>
      </w:r>
      <w:r>
        <w:rPr>
          <w:i/>
          <w:iCs/>
        </w:rPr>
        <w:t xml:space="preserve">Investigations</w:t>
      </w:r>
      <w:r>
        <w:rPr>
          <w:i/>
          <w:iCs/>
        </w:rPr>
        <w:t xml:space="preserve"> </w:t>
      </w:r>
      <w:r>
        <w:rPr>
          <w:i/>
          <w:iCs/>
        </w:rPr>
        <w:t xml:space="preserve">in Homage to</w:t>
      </w:r>
      <w:r>
        <w:rPr>
          <w:i/>
          <w:iCs/>
        </w:rPr>
        <w:t xml:space="preserve"> </w:t>
      </w:r>
      <w:r>
        <w:rPr>
          <w:i/>
          <w:iCs/>
        </w:rPr>
        <w:t xml:space="preserve">Gideon Toury</w:t>
      </w:r>
      <w:r>
        <w:t xml:space="preserve">, edited by Anthony Pym, Miriam Shlesinger, and Daniel Simeoni, 311–28. Benjamins</w:t>
      </w:r>
      <w:r>
        <w:t xml:space="preserve"> </w:t>
      </w:r>
      <w:r>
        <w:t xml:space="preserve">Translation Library</w:t>
      </w:r>
      <w:r>
        <w:t xml:space="preserve">. John Benjamins Publishing Company.</w:t>
      </w:r>
      <w:r>
        <w:t xml:space="preserve"> </w:t>
      </w:r>
      <w:hyperlink r:id="rId181">
        <w:r>
          <w:rPr>
            <w:rStyle w:val="Hyperlink"/>
          </w:rPr>
          <w:t xml:space="preserve">https://doi.org/10.1075/btl.75.24pym</w:t>
        </w:r>
      </w:hyperlink>
      <w:r>
        <w:t xml:space="preserve">.</w:t>
      </w:r>
    </w:p>
    <w:bookmarkEnd w:id="182"/>
    <w:bookmarkStart w:id="183" w:name="ref-RCoreTeam2024Language"/>
    <w:p>
      <w:pPr>
        <w:pStyle w:val="Bibliography"/>
      </w:pPr>
      <w:r>
        <w:t xml:space="preserve">R Core Team. 2024.</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w:t>
      </w:r>
    </w:p>
    <w:bookmarkEnd w:id="183"/>
    <w:bookmarkStart w:id="185" w:name="ref-Sankoff1972Matching"/>
    <w:p>
      <w:pPr>
        <w:pStyle w:val="Bibliography"/>
      </w:pPr>
      <w:r>
        <w:t xml:space="preserve">Sankoff, D. 1972.</w:t>
      </w:r>
      <w:r>
        <w:t xml:space="preserve"> </w:t>
      </w:r>
      <w:r>
        <w:t xml:space="preserve">“Matching Sequences Under Deletion-Insertion Constraints.”</w:t>
      </w:r>
      <w:r>
        <w:t xml:space="preserve"> </w:t>
      </w:r>
      <w:r>
        <w:rPr>
          <w:i/>
          <w:iCs/>
        </w:rPr>
        <w:t xml:space="preserve">Proceedings of the National Academy of Sciences of the United States of America</w:t>
      </w:r>
      <w:r>
        <w:t xml:space="preserve"> </w:t>
      </w:r>
      <w:r>
        <w:t xml:space="preserve">69 (1): 4–6.</w:t>
      </w:r>
      <w:r>
        <w:t xml:space="preserve"> </w:t>
      </w:r>
      <w:hyperlink r:id="rId184">
        <w:r>
          <w:rPr>
            <w:rStyle w:val="Hyperlink"/>
          </w:rPr>
          <w:t xml:space="preserve">https://doi.org/10.1073/pnas.69.1.4</w:t>
        </w:r>
      </w:hyperlink>
      <w:r>
        <w:t xml:space="preserve">.</w:t>
      </w:r>
    </w:p>
    <w:bookmarkEnd w:id="185"/>
    <w:bookmarkStart w:id="186" w:name="ref-Schramm1954Process"/>
    <w:p>
      <w:pPr>
        <w:pStyle w:val="Bibliography"/>
      </w:pPr>
      <w:r>
        <w:t xml:space="preserve">Schramm, Wilbur Lang. 1954.</w:t>
      </w:r>
      <w:r>
        <w:t xml:space="preserve"> </w:t>
      </w:r>
      <w:r>
        <w:rPr>
          <w:i/>
          <w:iCs/>
        </w:rPr>
        <w:t xml:space="preserve">The Process and Effects of Mass Communication</w:t>
      </w:r>
      <w:r>
        <w:t xml:space="preserve">. Urbana: University of Illinois Press.</w:t>
      </w:r>
    </w:p>
    <w:bookmarkEnd w:id="186"/>
    <w:bookmarkStart w:id="187" w:name="ref-Shiozawa1993Motoori"/>
    <w:p>
      <w:pPr>
        <w:pStyle w:val="Bibliography"/>
      </w:pPr>
      <w:r>
        <w:t xml:space="preserve">Shiozawa, Kazuko. 1993.</w:t>
      </w:r>
      <w:r>
        <w:t xml:space="preserve"> </w:t>
      </w:r>
      <w:r>
        <w:t xml:space="preserve">“Motoori</w:t>
      </w:r>
      <w:r>
        <w:t xml:space="preserve"> </w:t>
      </w:r>
      <w:r>
        <w:t xml:space="preserve">Norinaga</w:t>
      </w:r>
      <w:r>
        <w:t xml:space="preserve">, "</w:t>
      </w:r>
      <w:r>
        <w:t xml:space="preserve">Kokinshu Tokagami</w:t>
      </w:r>
      <w:r>
        <w:t xml:space="preserve">" Ni Okeru Keijo Jodoshi: ’Shiyaru’, ’Sashiyaru’ o Megutte (</w:t>
      </w:r>
      <w:r>
        <w:t xml:space="preserve">Motoori Norinaga</w:t>
      </w:r>
      <w:r>
        <w:t xml:space="preserve">’s Humble Auxiliary Verb in the</w:t>
      </w:r>
      <w:r>
        <w:t xml:space="preserve"> </w:t>
      </w:r>
      <w:r>
        <w:t xml:space="preserve">Kokinshu Tokagami</w:t>
      </w:r>
      <w:r>
        <w:t xml:space="preserve">: ’Shiyaru’, ’Sashiyaru’).”</w:t>
      </w:r>
      <w:r>
        <w:t xml:space="preserve"> </w:t>
      </w:r>
      <w:r>
        <w:rPr>
          <w:i/>
          <w:iCs/>
        </w:rPr>
        <w:t xml:space="preserve">Kindaigo Kenkyu (Study of Contemporary Vocabulary)</w:t>
      </w:r>
      <w:r>
        <w:t xml:space="preserve"> </w:t>
      </w:r>
      <w:r>
        <w:t xml:space="preserve">9: 143–60.</w:t>
      </w:r>
    </w:p>
    <w:bookmarkEnd w:id="187"/>
    <w:bookmarkStart w:id="188" w:name="ref-Sinclair1996Search"/>
    <w:p>
      <w:pPr>
        <w:pStyle w:val="Bibliography"/>
      </w:pPr>
      <w:r>
        <w:t xml:space="preserve">Sinclair, John McHardy. 1996.</w:t>
      </w:r>
      <w:r>
        <w:t xml:space="preserve"> </w:t>
      </w:r>
      <w:r>
        <w:t xml:space="preserve">“The</w:t>
      </w:r>
      <w:r>
        <w:t xml:space="preserve"> </w:t>
      </w:r>
      <w:r>
        <w:t xml:space="preserve">Search</w:t>
      </w:r>
      <w:r>
        <w:t xml:space="preserve"> </w:t>
      </w:r>
      <w:r>
        <w:t xml:space="preserve">for</w:t>
      </w:r>
      <w:r>
        <w:t xml:space="preserve"> </w:t>
      </w:r>
      <w:r>
        <w:t xml:space="preserve">Units</w:t>
      </w:r>
      <w:r>
        <w:t xml:space="preserve"> </w:t>
      </w:r>
      <w:r>
        <w:t xml:space="preserve">of</w:t>
      </w:r>
      <w:r>
        <w:t xml:space="preserve"> </w:t>
      </w:r>
      <w:r>
        <w:t xml:space="preserve">Meaning</w:t>
      </w:r>
      <w:r>
        <w:t xml:space="preserve">.”</w:t>
      </w:r>
      <w:r>
        <w:t xml:space="preserve"> </w:t>
      </w:r>
      <w:r>
        <w:rPr>
          <w:i/>
          <w:iCs/>
        </w:rPr>
        <w:t xml:space="preserve">Textus</w:t>
      </w:r>
      <w:r>
        <w:t xml:space="preserve"> </w:t>
      </w:r>
      <w:r>
        <w:t xml:space="preserve">9: 75–106.</w:t>
      </w:r>
    </w:p>
    <w:bookmarkEnd w:id="188"/>
    <w:bookmarkStart w:id="189" w:name="ref-Sinclair2003Reading"/>
    <w:p>
      <w:pPr>
        <w:pStyle w:val="Bibliography"/>
      </w:pPr>
      <w:r>
        <w:t xml:space="preserve">———. 2003.</w:t>
      </w:r>
      <w:r>
        <w:t xml:space="preserve"> </w:t>
      </w:r>
      <w:r>
        <w:rPr>
          <w:i/>
          <w:iCs/>
        </w:rPr>
        <w:t xml:space="preserve">Reading</w:t>
      </w:r>
      <w:r>
        <w:rPr>
          <w:i/>
          <w:iCs/>
        </w:rPr>
        <w:t xml:space="preserve"> </w:t>
      </w:r>
      <w:r>
        <w:rPr>
          <w:i/>
          <w:iCs/>
        </w:rPr>
        <w:t xml:space="preserve">Concordances</w:t>
      </w:r>
      <w:r>
        <w:t xml:space="preserve">. First Edition. London: Pearson ESL.</w:t>
      </w:r>
    </w:p>
    <w:bookmarkEnd w:id="189"/>
    <w:bookmarkStart w:id="191" w:name="ref-Sinclair2004Trust"/>
    <w:p>
      <w:pPr>
        <w:pStyle w:val="Bibliography"/>
      </w:pPr>
      <w:r>
        <w:t xml:space="preserve">———. 2004.</w:t>
      </w:r>
      <w:r>
        <w:t xml:space="preserve"> </w:t>
      </w:r>
      <w:r>
        <w:rPr>
          <w:i/>
          <w:iCs/>
        </w:rPr>
        <w:t xml:space="preserve">Trust the</w:t>
      </w:r>
      <w:r>
        <w:rPr>
          <w:i/>
          <w:iCs/>
        </w:rPr>
        <w:t xml:space="preserve"> </w:t>
      </w:r>
      <w:r>
        <w:rPr>
          <w:i/>
          <w:iCs/>
        </w:rPr>
        <w:t xml:space="preserve">Text</w:t>
      </w:r>
      <w:r>
        <w:rPr>
          <w:i/>
          <w:iCs/>
        </w:rPr>
        <w:t xml:space="preserve">:</w:t>
      </w:r>
      <w:r>
        <w:rPr>
          <w:i/>
          <w:iCs/>
        </w:rPr>
        <w:t xml:space="preserve"> </w:t>
      </w:r>
      <w:r>
        <w:rPr>
          <w:i/>
          <w:iCs/>
        </w:rPr>
        <w:t xml:space="preserve">Language</w:t>
      </w:r>
      <w:r>
        <w:rPr>
          <w:i/>
          <w:iCs/>
        </w:rPr>
        <w:t xml:space="preserve">,</w:t>
      </w:r>
      <w:r>
        <w:rPr>
          <w:i/>
          <w:iCs/>
        </w:rPr>
        <w:t xml:space="preserve"> </w:t>
      </w:r>
      <w:r>
        <w:rPr>
          <w:i/>
          <w:iCs/>
        </w:rPr>
        <w:t xml:space="preserve">Corpus</w:t>
      </w:r>
      <w:r>
        <w:rPr>
          <w:i/>
          <w:iCs/>
        </w:rPr>
        <w:t xml:space="preserve"> </w:t>
      </w:r>
      <w:r>
        <w:rPr>
          <w:i/>
          <w:iCs/>
        </w:rPr>
        <w:t xml:space="preserve">and</w:t>
      </w:r>
      <w:r>
        <w:rPr>
          <w:i/>
          <w:iCs/>
        </w:rPr>
        <w:t xml:space="preserve"> </w:t>
      </w:r>
      <w:r>
        <w:rPr>
          <w:i/>
          <w:iCs/>
        </w:rPr>
        <w:t xml:space="preserve">Discourse</w:t>
      </w:r>
      <w:r>
        <w:t xml:space="preserve">. Edited by Ronald Carter. 1st ed. London ; New York: Routledge.</w:t>
      </w:r>
      <w:r>
        <w:t xml:space="preserve"> </w:t>
      </w:r>
      <w:hyperlink r:id="rId190">
        <w:r>
          <w:rPr>
            <w:rStyle w:val="Hyperlink"/>
          </w:rPr>
          <w:t xml:space="preserve">https://doi.org/10.4324/9780203594070</w:t>
        </w:r>
      </w:hyperlink>
      <w:r>
        <w:t xml:space="preserve">.</w:t>
      </w:r>
    </w:p>
    <w:bookmarkEnd w:id="191"/>
    <w:bookmarkStart w:id="192" w:name="ref-Sinclair1970English"/>
    <w:p>
      <w:pPr>
        <w:pStyle w:val="Bibliography"/>
      </w:pPr>
      <w:r>
        <w:t xml:space="preserve">Sinclair, John McHardy, S. Jones, and R. Daley. 1970.</w:t>
      </w:r>
      <w:r>
        <w:t xml:space="preserve"> </w:t>
      </w:r>
      <w:r>
        <w:rPr>
          <w:i/>
          <w:iCs/>
        </w:rPr>
        <w:t xml:space="preserve">English Lexical Studies: Report to</w:t>
      </w:r>
      <w:r>
        <w:rPr>
          <w:i/>
          <w:iCs/>
        </w:rPr>
        <w:t xml:space="preserve"> </w:t>
      </w:r>
      <w:r>
        <w:rPr>
          <w:i/>
          <w:iCs/>
        </w:rPr>
        <w:t xml:space="preserve">OSTI</w:t>
      </w:r>
      <w:r>
        <w:rPr>
          <w:i/>
          <w:iCs/>
        </w:rPr>
        <w:t xml:space="preserve"> </w:t>
      </w:r>
      <w:r>
        <w:rPr>
          <w:i/>
          <w:iCs/>
        </w:rPr>
        <w:t xml:space="preserve">on Project</w:t>
      </w:r>
      <w:r>
        <w:rPr>
          <w:i/>
          <w:iCs/>
        </w:rPr>
        <w:t xml:space="preserve"> </w:t>
      </w:r>
      <w:r>
        <w:rPr>
          <w:i/>
          <w:iCs/>
        </w:rPr>
        <w:t xml:space="preserve">C</w:t>
      </w:r>
      <w:r>
        <w:rPr>
          <w:i/>
          <w:iCs/>
        </w:rPr>
        <w:t xml:space="preserve">/</w:t>
      </w:r>
      <w:r>
        <w:rPr>
          <w:i/>
          <w:iCs/>
        </w:rPr>
        <w:t xml:space="preserve">LP</w:t>
      </w:r>
      <w:r>
        <w:rPr>
          <w:i/>
          <w:iCs/>
        </w:rPr>
        <w:t xml:space="preserve">/08.</w:t>
      </w:r>
      <w:r>
        <w:rPr>
          <w:i/>
          <w:iCs/>
        </w:rPr>
        <w:t xml:space="preserve"> </w:t>
      </w:r>
      <w:r>
        <w:rPr>
          <w:i/>
          <w:iCs/>
        </w:rPr>
        <w:t xml:space="preserve">Final</w:t>
      </w:r>
      <w:r>
        <w:rPr>
          <w:i/>
          <w:iCs/>
        </w:rPr>
        <w:t xml:space="preserve"> </w:t>
      </w:r>
      <w:r>
        <w:rPr>
          <w:i/>
          <w:iCs/>
        </w:rPr>
        <w:t xml:space="preserve">Report for Period</w:t>
      </w:r>
      <w:r>
        <w:rPr>
          <w:i/>
          <w:iCs/>
        </w:rPr>
        <w:t xml:space="preserve"> </w:t>
      </w:r>
      <w:r>
        <w:rPr>
          <w:i/>
          <w:iCs/>
        </w:rPr>
        <w:t xml:space="preserve">January</w:t>
      </w:r>
      <w:r>
        <w:rPr>
          <w:i/>
          <w:iCs/>
        </w:rPr>
        <w:t xml:space="preserve"> </w:t>
      </w:r>
      <w:r>
        <w:rPr>
          <w:i/>
          <w:iCs/>
        </w:rPr>
        <w:t xml:space="preserve">1967 -</w:t>
      </w:r>
      <w:r>
        <w:rPr>
          <w:i/>
          <w:iCs/>
        </w:rPr>
        <w:t xml:space="preserve"> </w:t>
      </w:r>
      <w:r>
        <w:rPr>
          <w:i/>
          <w:iCs/>
        </w:rPr>
        <w:t xml:space="preserve">September</w:t>
      </w:r>
      <w:r>
        <w:rPr>
          <w:i/>
          <w:iCs/>
        </w:rPr>
        <w:t xml:space="preserve"> </w:t>
      </w:r>
      <w:r>
        <w:rPr>
          <w:i/>
          <w:iCs/>
        </w:rPr>
        <w:t xml:space="preserve">1969</w:t>
      </w:r>
      <w:r>
        <w:t xml:space="preserve">. Birmingham: Department of English, University of Birmingham.</w:t>
      </w:r>
    </w:p>
    <w:bookmarkEnd w:id="192"/>
    <w:bookmarkStart w:id="193" w:name="ref-Stubbs2001Words"/>
    <w:p>
      <w:pPr>
        <w:pStyle w:val="Bibliography"/>
      </w:pPr>
      <w:r>
        <w:t xml:space="preserve">Stubbs, Michael. 2001.</w:t>
      </w:r>
      <w:r>
        <w:t xml:space="preserve"> </w:t>
      </w:r>
      <w:r>
        <w:rPr>
          <w:i/>
          <w:iCs/>
        </w:rPr>
        <w:t xml:space="preserve">Words and Phrases: Corpus Studies of Lexical Semantics</w:t>
      </w:r>
      <w:r>
        <w:t xml:space="preserve">. Oxford ; Malden, MA: Blackwell Publishers.</w:t>
      </w:r>
    </w:p>
    <w:bookmarkEnd w:id="193"/>
    <w:bookmarkStart w:id="194" w:name="ref-Traum2000Generation"/>
    <w:p>
      <w:pPr>
        <w:pStyle w:val="Bibliography"/>
      </w:pPr>
      <w:r>
        <w:t xml:space="preserve">Traum, David, and Nizar Habash. 2000.</w:t>
      </w:r>
      <w:r>
        <w:t xml:space="preserve"> </w:t>
      </w:r>
      <w:r>
        <w:t xml:space="preserve">“Generation from</w:t>
      </w:r>
      <w:r>
        <w:t xml:space="preserve"> </w:t>
      </w:r>
      <w:r>
        <w:t xml:space="preserve">Lexical Conceptual Structures</w:t>
      </w:r>
      <w:r>
        <w:t xml:space="preserve">.”</w:t>
      </w:r>
      <w:r>
        <w:t xml:space="preserve"> </w:t>
      </w:r>
      <w:r>
        <w:t xml:space="preserve">In</w:t>
      </w:r>
      <w:r>
        <w:t xml:space="preserve"> </w:t>
      </w:r>
      <w:r>
        <w:rPr>
          <w:i/>
          <w:iCs/>
        </w:rPr>
        <w:t xml:space="preserve">NAACL-ANLP</w:t>
      </w:r>
      <w:r>
        <w:rPr>
          <w:i/>
          <w:iCs/>
        </w:rPr>
        <w:t xml:space="preserve"> </w:t>
      </w:r>
      <w:r>
        <w:rPr>
          <w:i/>
          <w:iCs/>
        </w:rPr>
        <w:t xml:space="preserve">2000</w:t>
      </w:r>
      <w:r>
        <w:rPr>
          <w:i/>
          <w:iCs/>
        </w:rPr>
        <w:t xml:space="preserve"> </w:t>
      </w:r>
      <w:r>
        <w:rPr>
          <w:i/>
          <w:iCs/>
        </w:rPr>
        <w:t xml:space="preserve">Workshop</w:t>
      </w:r>
      <w:r>
        <w:rPr>
          <w:i/>
          <w:iCs/>
        </w:rPr>
        <w:t xml:space="preserve">:</w:t>
      </w:r>
      <w:r>
        <w:rPr>
          <w:i/>
          <w:iCs/>
        </w:rPr>
        <w:t xml:space="preserve"> </w:t>
      </w:r>
      <w:r>
        <w:rPr>
          <w:i/>
          <w:iCs/>
        </w:rPr>
        <w:t xml:space="preserve">Applied Interlinguas</w:t>
      </w:r>
      <w:r>
        <w:rPr>
          <w:i/>
          <w:iCs/>
        </w:rPr>
        <w:t xml:space="preserve">:</w:t>
      </w:r>
      <w:r>
        <w:rPr>
          <w:i/>
          <w:iCs/>
        </w:rPr>
        <w:t xml:space="preserve"> </w:t>
      </w:r>
      <w:r>
        <w:rPr>
          <w:i/>
          <w:iCs/>
        </w:rPr>
        <w:t xml:space="preserve">Practical Applications</w:t>
      </w:r>
      <w:r>
        <w:rPr>
          <w:i/>
          <w:iCs/>
        </w:rPr>
        <w:t xml:space="preserve"> </w:t>
      </w:r>
      <w:r>
        <w:rPr>
          <w:i/>
          <w:iCs/>
        </w:rPr>
        <w:t xml:space="preserve">of</w:t>
      </w:r>
      <w:r>
        <w:rPr>
          <w:i/>
          <w:iCs/>
        </w:rPr>
        <w:t xml:space="preserve"> </w:t>
      </w:r>
      <w:r>
        <w:rPr>
          <w:i/>
          <w:iCs/>
        </w:rPr>
        <w:t xml:space="preserve">Interlingual Approaches</w:t>
      </w:r>
      <w:r>
        <w:rPr>
          <w:i/>
          <w:iCs/>
        </w:rPr>
        <w:t xml:space="preserve"> </w:t>
      </w:r>
      <w:r>
        <w:rPr>
          <w:i/>
          <w:iCs/>
        </w:rPr>
        <w:t xml:space="preserve">to</w:t>
      </w:r>
      <w:r>
        <w:rPr>
          <w:i/>
          <w:iCs/>
        </w:rPr>
        <w:t xml:space="preserve"> </w:t>
      </w:r>
      <w:r>
        <w:rPr>
          <w:i/>
          <w:iCs/>
        </w:rPr>
        <w:t xml:space="preserve">NLP</w:t>
      </w:r>
      <w:r>
        <w:t xml:space="preserve">.</w:t>
      </w:r>
    </w:p>
    <w:bookmarkEnd w:id="194"/>
    <w:bookmarkStart w:id="196" w:name="ref-Tymoczko1998Computerized"/>
    <w:p>
      <w:pPr>
        <w:pStyle w:val="Bibliography"/>
      </w:pPr>
      <w:r>
        <w:t xml:space="preserve">Tymoczko, Maria. 1998.</w:t>
      </w:r>
      <w:r>
        <w:t xml:space="preserve"> </w:t>
      </w:r>
      <w:r>
        <w:t xml:space="preserve">“</w:t>
      </w:r>
      <w:r>
        <w:t xml:space="preserve">Computerized Corpora and the Future of Translation Studies</w:t>
      </w:r>
      <w:r>
        <w:t xml:space="preserve">.”</w:t>
      </w:r>
      <w:r>
        <w:t xml:space="preserve"> </w:t>
      </w:r>
      <w:r>
        <w:rPr>
          <w:i/>
          <w:iCs/>
        </w:rPr>
        <w:t xml:space="preserve">Meta : journal des traducteurs / Meta: Translators’ Journal</w:t>
      </w:r>
      <w:r>
        <w:t xml:space="preserve"> </w:t>
      </w:r>
      <w:r>
        <w:t xml:space="preserve">43 (4): 652–60.</w:t>
      </w:r>
      <w:r>
        <w:t xml:space="preserve"> </w:t>
      </w:r>
      <w:hyperlink r:id="rId195">
        <w:r>
          <w:rPr>
            <w:rStyle w:val="Hyperlink"/>
          </w:rPr>
          <w:t xml:space="preserve">https://doi.org/10.7202/004515ar</w:t>
        </w:r>
      </w:hyperlink>
      <w:r>
        <w:t xml:space="preserve">.</w:t>
      </w:r>
    </w:p>
    <w:bookmarkEnd w:id="196"/>
    <w:bookmarkStart w:id="197" w:name="ref-Vinay1958Comparative"/>
    <w:p>
      <w:pPr>
        <w:pStyle w:val="Bibliography"/>
      </w:pPr>
      <w:r>
        <w:t xml:space="preserve">Vinay, Jean-PaulDarbelnet. 1958.</w:t>
      </w:r>
      <w:r>
        <w:t xml:space="preserve"> </w:t>
      </w:r>
      <w:r>
        <w:rPr>
          <w:i/>
          <w:iCs/>
        </w:rPr>
        <w:t xml:space="preserve">Comparative</w:t>
      </w:r>
      <w:r>
        <w:rPr>
          <w:i/>
          <w:iCs/>
        </w:rPr>
        <w:t xml:space="preserve"> </w:t>
      </w:r>
      <w:r>
        <w:rPr>
          <w:i/>
          <w:iCs/>
        </w:rPr>
        <w:t xml:space="preserve">Stylistics</w:t>
      </w:r>
      <w:r>
        <w:rPr>
          <w:i/>
          <w:iCs/>
        </w:rPr>
        <w:t xml:space="preserve"> </w:t>
      </w:r>
      <w:r>
        <w:rPr>
          <w:i/>
          <w:iCs/>
        </w:rPr>
        <w:t xml:space="preserve">of</w:t>
      </w:r>
      <w:r>
        <w:rPr>
          <w:i/>
          <w:iCs/>
        </w:rPr>
        <w:t xml:space="preserve"> </w:t>
      </w:r>
      <w:r>
        <w:rPr>
          <w:i/>
          <w:iCs/>
        </w:rPr>
        <w:t xml:space="preserve">French</w:t>
      </w:r>
      <w:r>
        <w:rPr>
          <w:i/>
          <w:iCs/>
        </w:rPr>
        <w:t xml:space="preserve"> </w:t>
      </w:r>
      <w:r>
        <w:rPr>
          <w:i/>
          <w:iCs/>
        </w:rPr>
        <w:t xml:space="preserve">and</w:t>
      </w:r>
      <w:r>
        <w:rPr>
          <w:i/>
          <w:iCs/>
        </w:rPr>
        <w:t xml:space="preserve"> </w:t>
      </w:r>
      <w:r>
        <w:rPr>
          <w:i/>
          <w:iCs/>
        </w:rPr>
        <w:t xml:space="preserve">English</w:t>
      </w:r>
      <w:r>
        <w:t xml:space="preserve">.</w:t>
      </w:r>
      <w:r>
        <w:t xml:space="preserve"> </w:t>
      </w:r>
      <w:r>
        <w:rPr>
          <w:i/>
          <w:iCs/>
        </w:rPr>
        <w:t xml:space="preserve">Btl.11</w:t>
      </w:r>
      <w:r>
        <w:t xml:space="preserve">. John Benjamins Publishing Company.</w:t>
      </w:r>
    </w:p>
    <w:bookmarkEnd w:id="197"/>
    <w:bookmarkStart w:id="198" w:name="ref-Yamamoto2005Mathematical"/>
    <w:p>
      <w:pPr>
        <w:pStyle w:val="Bibliography"/>
      </w:pPr>
      <w:r>
        <w:t xml:space="preserve">Yamamoto, Hilofumi. 2005.</w:t>
      </w:r>
      <w:r>
        <w:t xml:space="preserve"> </w:t>
      </w:r>
      <w:r>
        <w:t xml:space="preserve">“A Mathematical Analysis of the Connotations of Classical</w:t>
      </w:r>
      <w:r>
        <w:t xml:space="preserve"> </w:t>
      </w:r>
      <w:r>
        <w:t xml:space="preserve">Japanese</w:t>
      </w:r>
      <w:r>
        <w:t xml:space="preserve"> </w:t>
      </w:r>
      <w:r>
        <w:t xml:space="preserve">Poetic Vocabulary.”</w:t>
      </w:r>
      <w:r>
        <w:t xml:space="preserve"> </w:t>
      </w:r>
      <w:r>
        <w:t xml:space="preserve">PhD thesis, Canberra: The Austrilian National University.</w:t>
      </w:r>
    </w:p>
    <w:bookmarkEnd w:id="198"/>
    <w:bookmarkStart w:id="199" w:name="ref-Yamamoto2006Extraction"/>
    <w:p>
      <w:pPr>
        <w:pStyle w:val="Bibliography"/>
      </w:pPr>
      <w:r>
        <w:t xml:space="preserve">———. 2006.</w:t>
      </w:r>
      <w:r>
        <w:t xml:space="preserve"> </w:t>
      </w:r>
      <w:r>
        <w:t xml:space="preserve">“</w:t>
      </w:r>
      <w:r>
        <w:t xml:space="preserve">Extraction and visualisation of the connotation of classical Japanese Poetic Vocabulary -How to construct semantic space by graph-</w:t>
      </w:r>
      <w:r>
        <w:t xml:space="preserve">.”</w:t>
      </w:r>
      <w:r>
        <w:t xml:space="preserve"> </w:t>
      </w:r>
      <w:r>
        <w:rPr>
          <w:i/>
          <w:iCs/>
        </w:rPr>
        <w:t xml:space="preserve">Proceedings of Symposium for Computers and the Humanities Symposium 2006 (Jinmoncom 2006)</w:t>
      </w:r>
      <w:r>
        <w:t xml:space="preserve"> </w:t>
      </w:r>
      <w:r>
        <w:t xml:space="preserve">2006 (December): 21–28.</w:t>
      </w:r>
    </w:p>
    <w:bookmarkEnd w:id="199"/>
    <w:bookmarkStart w:id="200" w:name="ref-Yamamoto2023Development"/>
    <w:p>
      <w:pPr>
        <w:pStyle w:val="Bibliography"/>
      </w:pPr>
      <w:r>
        <w:t xml:space="preserve">Yamamoto, Hilofumi, Bor Hodoscek, and Xudong Chen. 2023.</w:t>
      </w:r>
      <w:r>
        <w:t xml:space="preserve"> </w:t>
      </w:r>
      <w:r>
        <w:t xml:space="preserve">“Development of a Dataset for Comparison Between Predicate Verb Phrases in the</w:t>
      </w:r>
      <w:r>
        <w:t xml:space="preserve"> </w:t>
      </w:r>
      <w:r>
        <w:t xml:space="preserve">Kokinshu</w:t>
      </w:r>
      <w:r>
        <w:t xml:space="preserve"> </w:t>
      </w:r>
      <w:r>
        <w:t xml:space="preserve">and Their Contemporary Translations.”</w:t>
      </w:r>
      <w:r>
        <w:t xml:space="preserve"> </w:t>
      </w:r>
      <w:r>
        <w:t xml:space="preserve">In</w:t>
      </w:r>
      <w:r>
        <w:t xml:space="preserve"> </w:t>
      </w:r>
      <w:r>
        <w:rPr>
          <w:i/>
          <w:iCs/>
        </w:rPr>
        <w:t xml:space="preserve">Proceedings of</w:t>
      </w:r>
      <w:r>
        <w:rPr>
          <w:i/>
          <w:iCs/>
        </w:rPr>
        <w:t xml:space="preserve"> </w:t>
      </w:r>
      <w:r>
        <w:rPr>
          <w:i/>
          <w:iCs/>
        </w:rPr>
        <w:t xml:space="preserve">JADH</w:t>
      </w:r>
      <w:r>
        <w:rPr>
          <w:i/>
          <w:iCs/>
        </w:rPr>
        <w:t xml:space="preserve"> </w:t>
      </w:r>
      <w:r>
        <w:rPr>
          <w:i/>
          <w:iCs/>
        </w:rPr>
        <w:t xml:space="preserve">Conference.</w:t>
      </w:r>
      <w:r>
        <w:t xml:space="preserve">, 2023:64–67. Tokyo, Japan: The Japanese Association for Digital Humanities (JADH).</w:t>
      </w:r>
    </w:p>
    <w:bookmarkEnd w:id="200"/>
    <w:bookmarkStart w:id="201" w:name="ref-Yamamoto2019Analysis"/>
    <w:p>
      <w:pPr>
        <w:pStyle w:val="Bibliography"/>
      </w:pPr>
      <w:r>
        <w:t xml:space="preserve">Yamamoto, Hilofumi, and Bor Hodošček. 2019.</w:t>
      </w:r>
      <w:r>
        <w:t xml:space="preserve"> </w:t>
      </w:r>
      <w:r>
        <w:t xml:space="preserve">“An</w:t>
      </w:r>
      <w:r>
        <w:t xml:space="preserve"> </w:t>
      </w:r>
      <w:r>
        <w:t xml:space="preserve">Analysis</w:t>
      </w:r>
      <w:r>
        <w:t xml:space="preserve"> </w:t>
      </w:r>
      <w:r>
        <w:t xml:space="preserve">of the</w:t>
      </w:r>
      <w:r>
        <w:t xml:space="preserve"> </w:t>
      </w:r>
      <w:r>
        <w:t xml:space="preserve">Differences Between Classical</w:t>
      </w:r>
      <w:r>
        <w:t xml:space="preserve"> </w:t>
      </w:r>
      <w:r>
        <w:t xml:space="preserve">and</w:t>
      </w:r>
      <w:r>
        <w:t xml:space="preserve"> </w:t>
      </w:r>
      <w:r>
        <w:t xml:space="preserve">Contemporary Poetic Vocabulary</w:t>
      </w:r>
      <w:r>
        <w:t xml:space="preserve"> </w:t>
      </w:r>
      <w:r>
        <w:t xml:space="preserve">of the</w:t>
      </w:r>
      <w:r>
        <w:t xml:space="preserve"> </w:t>
      </w:r>
      <w:r>
        <w:t xml:space="preserve">Kokinshu</w:t>
      </w:r>
      <w:r>
        <w:t xml:space="preserve">.”</w:t>
      </w:r>
      <w:r>
        <w:t xml:space="preserve"> </w:t>
      </w:r>
      <w:r>
        <w:t xml:space="preserve">In</w:t>
      </w:r>
      <w:r>
        <w:t xml:space="preserve"> </w:t>
      </w:r>
      <w:r>
        <w:rPr>
          <w:i/>
          <w:iCs/>
        </w:rPr>
        <w:t xml:space="preserve">The 9th</w:t>
      </w:r>
      <w:r>
        <w:rPr>
          <w:i/>
          <w:iCs/>
        </w:rPr>
        <w:t xml:space="preserve"> </w:t>
      </w:r>
      <w:r>
        <w:rPr>
          <w:i/>
          <w:iCs/>
        </w:rPr>
        <w:t xml:space="preserve">Conference</w:t>
      </w:r>
      <w:r>
        <w:rPr>
          <w:i/>
          <w:iCs/>
        </w:rPr>
        <w:t xml:space="preserve"> </w:t>
      </w:r>
      <w:r>
        <w:rPr>
          <w:i/>
          <w:iCs/>
        </w:rPr>
        <w:t xml:space="preserve">of</w:t>
      </w:r>
      <w:r>
        <w:rPr>
          <w:i/>
          <w:iCs/>
        </w:rPr>
        <w:t xml:space="preserve"> </w:t>
      </w:r>
      <w:r>
        <w:rPr>
          <w:i/>
          <w:iCs/>
        </w:rPr>
        <w:t xml:space="preserve">Japanese Association</w:t>
      </w:r>
      <w:r>
        <w:rPr>
          <w:i/>
          <w:iCs/>
        </w:rPr>
        <w:t xml:space="preserve"> </w:t>
      </w:r>
      <w:r>
        <w:rPr>
          <w:i/>
          <w:iCs/>
        </w:rPr>
        <w:t xml:space="preserve">for</w:t>
      </w:r>
      <w:r>
        <w:rPr>
          <w:i/>
          <w:iCs/>
        </w:rPr>
        <w:t xml:space="preserve"> </w:t>
      </w:r>
      <w:r>
        <w:rPr>
          <w:i/>
          <w:iCs/>
        </w:rPr>
        <w:t xml:space="preserve">Digital Humanities</w:t>
      </w:r>
      <w:r>
        <w:rPr>
          <w:i/>
          <w:iCs/>
        </w:rPr>
        <w:t xml:space="preserve"> </w:t>
      </w:r>
      <w:r>
        <w:rPr>
          <w:i/>
          <w:iCs/>
        </w:rPr>
        <w:t xml:space="preserve">(</w:t>
      </w:r>
      <w:r>
        <w:rPr>
          <w:i/>
          <w:iCs/>
        </w:rPr>
        <w:t xml:space="preserve">JADH2019</w:t>
      </w:r>
      <w:r>
        <w:rPr>
          <w:i/>
          <w:iCs/>
        </w:rPr>
        <w:t xml:space="preserve">)</w:t>
      </w:r>
      <w:r>
        <w:rPr>
          <w:i/>
          <w:iCs/>
        </w:rPr>
        <w:t xml:space="preserve"> </w:t>
      </w:r>
      <w:r>
        <w:rPr>
          <w:i/>
          <w:iCs/>
        </w:rPr>
        <w:t xml:space="preserve">“</w:t>
      </w:r>
      <w:r>
        <w:rPr>
          <w:i/>
          <w:iCs/>
        </w:rPr>
        <w:t xml:space="preserve">Localization</w:t>
      </w:r>
      <w:r>
        <w:rPr>
          <w:i/>
          <w:iCs/>
        </w:rPr>
        <w:t xml:space="preserve"> </w:t>
      </w:r>
      <w:r>
        <w:rPr>
          <w:i/>
          <w:iCs/>
        </w:rPr>
        <w:t xml:space="preserve">in</w:t>
      </w:r>
      <w:r>
        <w:rPr>
          <w:i/>
          <w:iCs/>
        </w:rPr>
        <w:t xml:space="preserve"> </w:t>
      </w:r>
      <w:r>
        <w:rPr>
          <w:i/>
          <w:iCs/>
        </w:rPr>
        <w:t xml:space="preserve">Global DH</w:t>
      </w:r>
      <w:r>
        <w:rPr>
          <w:i/>
          <w:iCs/>
        </w:rPr>
        <w:t xml:space="preserve">”</w:t>
      </w:r>
      <w:r>
        <w:t xml:space="preserve">, 68–71. Japanese Association for Digital Humanities.</w:t>
      </w:r>
    </w:p>
    <w:bookmarkEnd w:id="201"/>
    <w:bookmarkStart w:id="203" w:name="ref-Yu2020Tradeeffect"/>
    <w:p>
      <w:pPr>
        <w:pStyle w:val="Bibliography"/>
      </w:pPr>
      <w:r>
        <w:t xml:space="preserve">Yu, Shaoyun, and Katsuo Tamaoka. 2020.</w:t>
      </w:r>
      <w:r>
        <w:t xml:space="preserve"> </w:t>
      </w:r>
      <w:r>
        <w:t xml:space="preserve">“Trade-Off Effect in the Processing of</w:t>
      </w:r>
      <w:r>
        <w:t xml:space="preserve"> </w:t>
      </w:r>
      <w:r>
        <w:t xml:space="preserve">Korean</w:t>
      </w:r>
      <w:r>
        <w:t xml:space="preserve"> </w:t>
      </w:r>
      <w:r>
        <w:t xml:space="preserve">Case-Drop Sentences:</w:t>
      </w:r>
      <w:r>
        <w:t xml:space="preserve"> </w:t>
      </w:r>
      <w:r>
        <w:t xml:space="preserve">An</w:t>
      </w:r>
      <w:r>
        <w:t xml:space="preserve"> </w:t>
      </w:r>
      <w:r>
        <w:t xml:space="preserve">Eye Tracking Investigation.”</w:t>
      </w:r>
      <w:r>
        <w:t xml:space="preserve"> </w:t>
      </w:r>
      <w:r>
        <w:rPr>
          <w:i/>
          <w:iCs/>
        </w:rPr>
        <w:t xml:space="preserve">Human Behaviour and Brain</w:t>
      </w:r>
      <w:r>
        <w:t xml:space="preserve">, June.</w:t>
      </w:r>
      <w:r>
        <w:t xml:space="preserve"> </w:t>
      </w:r>
      <w:hyperlink r:id="rId202">
        <w:r>
          <w:rPr>
            <w:rStyle w:val="Hyperlink"/>
          </w:rPr>
          <w:t xml:space="preserve">https://doi.org/10.37716/HBAB.2020010203</w:t>
        </w:r>
      </w:hyperlink>
      <w:r>
        <w:t xml:space="preserve">.</w:t>
      </w:r>
    </w:p>
    <w:bookmarkEnd w:id="203"/>
    <w:bookmarkStart w:id="204" w:name="ref-kyusojin1979Kokin"/>
    <w:p>
      <w:pPr>
        <w:pStyle w:val="Bibliography"/>
      </w:pPr>
      <w:r>
        <w:t xml:space="preserve">久曽神昇. 1979.</w:t>
      </w:r>
      <w:r>
        <w:t xml:space="preserve"> </w:t>
      </w:r>
      <w:r>
        <w:rPr>
          <w:i/>
          <w:iCs/>
        </w:rPr>
        <w:t xml:space="preserve">古今和歌集 全注釈</w:t>
      </w:r>
      <w:r>
        <w:t xml:space="preserve">. Vol. 1–5.</w:t>
      </w:r>
      <w:r>
        <w:t xml:space="preserve"> </w:t>
      </w:r>
      <w:r>
        <w:t xml:space="preserve">講談社学術文庫</w:t>
      </w:r>
      <w:r>
        <w:t xml:space="preserve">. 東京: 講談社.</w:t>
      </w:r>
    </w:p>
    <w:bookmarkEnd w:id="204"/>
    <w:bookmarkStart w:id="205" w:name="ref-okumura1978Kokin"/>
    <w:p>
      <w:pPr>
        <w:pStyle w:val="Bibliography"/>
      </w:pPr>
      <w:r>
        <w:t xml:space="preserve">奥村恆哉. 1978.</w:t>
      </w:r>
      <w:r>
        <w:t xml:space="preserve"> </w:t>
      </w:r>
      <w:r>
        <w:rPr>
          <w:i/>
          <w:iCs/>
        </w:rPr>
        <w:t xml:space="preserve">古今和歌集</w:t>
      </w:r>
      <w:r>
        <w:t xml:space="preserve">.</w:t>
      </w:r>
      <w:r>
        <w:t xml:space="preserve"> </w:t>
      </w:r>
      <w:r>
        <w:t xml:space="preserve">新潮日本古典集成</w:t>
      </w:r>
      <w:r>
        <w:t xml:space="preserve">. 東京: 新潮社.</w:t>
      </w:r>
    </w:p>
    <w:bookmarkEnd w:id="205"/>
    <w:bookmarkStart w:id="206" w:name="ref-kojima1989Kokin"/>
    <w:p>
      <w:pPr>
        <w:pStyle w:val="Bibliography"/>
      </w:pPr>
      <w:r>
        <w:t xml:space="preserve">小島憲之, and 新井栄蔵. 1989.</w:t>
      </w:r>
      <w:r>
        <w:t xml:space="preserve"> </w:t>
      </w:r>
      <w:r>
        <w:rPr>
          <w:i/>
          <w:iCs/>
        </w:rPr>
        <w:t xml:space="preserve">古今和歌集</w:t>
      </w:r>
      <w:r>
        <w:t xml:space="preserve">. 東京: 岩波書店.</w:t>
      </w:r>
    </w:p>
    <w:bookmarkEnd w:id="206"/>
    <w:bookmarkStart w:id="207" w:name="ref-ozawa1971Kikon"/>
    <w:p>
      <w:pPr>
        <w:pStyle w:val="Bibliography"/>
      </w:pPr>
      <w:r>
        <w:t xml:space="preserve">小沢正夫. 1971.</w:t>
      </w:r>
      <w:r>
        <w:t xml:space="preserve"> </w:t>
      </w:r>
      <w:r>
        <w:rPr>
          <w:i/>
          <w:iCs/>
        </w:rPr>
        <w:t xml:space="preserve">古今和歌集</w:t>
      </w:r>
      <w:r>
        <w:t xml:space="preserve">. 13th ed.</w:t>
      </w:r>
      <w:r>
        <w:t xml:space="preserve"> </w:t>
      </w:r>
      <w:r>
        <w:t xml:space="preserve">日本古典文学全集</w:t>
      </w:r>
      <w:r>
        <w:t xml:space="preserve">. 東京: 小学館.</w:t>
      </w:r>
    </w:p>
    <w:bookmarkEnd w:id="207"/>
    <w:bookmarkStart w:id="208" w:name="ref-komachiya1982Kokin"/>
    <w:p>
      <w:pPr>
        <w:pStyle w:val="Bibliography"/>
      </w:pPr>
      <w:r>
        <w:t xml:space="preserve">小町谷照彦. 1982.</w:t>
      </w:r>
      <w:r>
        <w:t xml:space="preserve"> </w:t>
      </w:r>
      <w:r>
        <w:rPr>
          <w:i/>
          <w:iCs/>
        </w:rPr>
        <w:t xml:space="preserve">古今和歌集：現代語訳対照</w:t>
      </w:r>
      <w:r>
        <w:t xml:space="preserve">. 旺文社文庫. 東京: 旺文社.</w:t>
      </w:r>
    </w:p>
    <w:bookmarkEnd w:id="208"/>
    <w:bookmarkStart w:id="209" w:name="ref-matsuda1968Shinshaku"/>
    <w:p>
      <w:pPr>
        <w:pStyle w:val="Bibliography"/>
      </w:pPr>
      <w:r>
        <w:t xml:space="preserve">松田武夫. 1968.</w:t>
      </w:r>
      <w:r>
        <w:t xml:space="preserve"> </w:t>
      </w:r>
      <w:r>
        <w:rPr>
          <w:i/>
          <w:iCs/>
        </w:rPr>
        <w:t xml:space="preserve">新釈古今和歌集</w:t>
      </w:r>
      <w:r>
        <w:t xml:space="preserve">. Vol. 上下. 東京: 風間書房.</w:t>
      </w:r>
    </w:p>
    <w:bookmarkEnd w:id="209"/>
    <w:bookmarkStart w:id="210" w:name="ref-katagiri1983Uta"/>
    <w:p>
      <w:pPr>
        <w:pStyle w:val="Bibliography"/>
      </w:pPr>
      <w:r>
        <w:t xml:space="preserve">片桐洋一. 1983.</w:t>
      </w:r>
      <w:r>
        <w:t xml:space="preserve"> </w:t>
      </w:r>
      <w:r>
        <w:rPr>
          <w:i/>
          <w:iCs/>
        </w:rPr>
        <w:t xml:space="preserve">歌枕歌ことば辞典</w:t>
      </w:r>
      <w:r>
        <w:t xml:space="preserve">. 東京: 角川書店.</w:t>
      </w:r>
    </w:p>
    <w:bookmarkEnd w:id="210"/>
    <w:bookmarkStart w:id="211" w:name="ref-katagiri1998Kokinhyoshaku"/>
    <w:p>
      <w:pPr>
        <w:pStyle w:val="Bibliography"/>
      </w:pPr>
      <w:r>
        <w:t xml:space="preserve">———. 1998.</w:t>
      </w:r>
      <w:r>
        <w:t xml:space="preserve"> </w:t>
      </w:r>
      <w:r>
        <w:rPr>
          <w:i/>
          <w:iCs/>
        </w:rPr>
        <w:t xml:space="preserve">古今和歌集全評釈</w:t>
      </w:r>
      <w:r>
        <w:t xml:space="preserve">. Vol. 上中下. 東京: 講談社.</w:t>
      </w:r>
    </w:p>
    <w:bookmarkEnd w:id="211"/>
    <w:bookmarkStart w:id="212" w:name="ref-kubota1960Kokin"/>
    <w:p>
      <w:pPr>
        <w:pStyle w:val="Bibliography"/>
      </w:pPr>
      <w:r>
        <w:t xml:space="preserve">窪田空穂. 1960.</w:t>
      </w:r>
      <w:r>
        <w:t xml:space="preserve"> </w:t>
      </w:r>
      <w:r>
        <w:rPr>
          <w:i/>
          <w:iCs/>
        </w:rPr>
        <w:t xml:space="preserve">古今和歌集評釈</w:t>
      </w:r>
      <w:r>
        <w:t xml:space="preserve">. Vol. 上中下. 東京: 東京堂.</w:t>
      </w:r>
    </w:p>
    <w:bookmarkEnd w:id="212"/>
    <w:bookmarkStart w:id="213" w:name="ref-takeoka1976Kokin"/>
    <w:p>
      <w:pPr>
        <w:pStyle w:val="Bibliography"/>
      </w:pPr>
      <w:r>
        <w:t xml:space="preserve">竹岡正夫. 1976.</w:t>
      </w:r>
      <w:r>
        <w:t xml:space="preserve"> </w:t>
      </w:r>
      <w:r>
        <w:rPr>
          <w:i/>
          <w:iCs/>
        </w:rPr>
        <w:t xml:space="preserve">古今和歌集全評釈: 古注七種集成</w:t>
      </w:r>
      <w:r>
        <w:t xml:space="preserve">. Vol. 上下. 東京: 右文書院.</w:t>
      </w:r>
    </w:p>
    <w:bookmarkEnd w:id="213"/>
    <w:bookmarkStart w:id="214" w:name="ref-kondo2001Ngrama"/>
    <w:p>
      <w:pPr>
        <w:pStyle w:val="Bibliography"/>
      </w:pPr>
      <w:r>
        <w:t xml:space="preserve">近藤みゆき. 2001.</w:t>
      </w:r>
      <w:r>
        <w:t xml:space="preserve"> </w:t>
      </w:r>
      <w:r>
        <w:t xml:space="preserve">“</w:t>
      </w:r>
      <w:r>
        <w:t xml:space="preserve">n-gram統計による語形の抽出と複合語–平安時代語の分析から</w:t>
      </w:r>
      <w:r>
        <w:t xml:space="preserve">.”</w:t>
      </w:r>
      <w:r>
        <w:t xml:space="preserve"> </w:t>
      </w:r>
      <w:r>
        <w:rPr>
          <w:i/>
          <w:iCs/>
        </w:rPr>
        <w:t xml:space="preserve">日本語学</w:t>
      </w:r>
      <w:r>
        <w:t xml:space="preserve"> </w:t>
      </w:r>
      <w:r>
        <w:t xml:space="preserve">20 (9): 79–89.</w:t>
      </w:r>
    </w:p>
    <w:bookmarkEnd w:id="214"/>
    <w:bookmarkStart w:id="215" w:name="ref-kondo2011Heian"/>
    <w:p>
      <w:pPr>
        <w:pStyle w:val="Bibliography"/>
      </w:pPr>
      <w:r>
        <w:t xml:space="preserve">近藤泰弘. 2011.</w:t>
      </w:r>
      <w:r>
        <w:t xml:space="preserve"> </w:t>
      </w:r>
      <w:r>
        <w:t xml:space="preserve">“</w:t>
      </w:r>
      <w:r>
        <w:t xml:space="preserve">平安時代の漢文訓読語の分類</w:t>
      </w:r>
      <w:r>
        <w:t xml:space="preserve">.”</w:t>
      </w:r>
      <w:r>
        <w:t xml:space="preserve"> </w:t>
      </w:r>
      <w:r>
        <w:rPr>
          <w:i/>
          <w:iCs/>
        </w:rPr>
        <w:t xml:space="preserve">訓点語と訓点資料 = Diacritical language and diacritical materials / 訓点語学会 編</w:t>
      </w:r>
      <w:r>
        <w:t xml:space="preserve"> </w:t>
      </w:r>
      <w:r>
        <w:t xml:space="preserve">127 (September): 120–31.</w:t>
      </w:r>
    </w:p>
    <w:bookmarkEnd w:id="215"/>
    <w:bookmarkStart w:id="216" w:name="ref-kaneko1933Kokin"/>
    <w:p>
      <w:pPr>
        <w:pStyle w:val="Bibliography"/>
      </w:pPr>
      <w:r>
        <w:t xml:space="preserve">金子元臣. 1933.</w:t>
      </w:r>
      <w:r>
        <w:t xml:space="preserve"> </w:t>
      </w:r>
      <w:r>
        <w:rPr>
          <w:i/>
          <w:iCs/>
        </w:rPr>
        <w:t xml:space="preserve">古今和歌集評釈: 昭和新版</w:t>
      </w:r>
      <w:r>
        <w:t xml:space="preserve">. 東京: 明治書院.</w:t>
      </w:r>
    </w:p>
    <w:bookmarkEnd w:id="216"/>
    <w:bookmarkEnd w:id="217"/>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初雁が鳴いて渡ってくるのだが、人の心の秋が来るのが悲しいので（筆者訳）</w:t>
      </w:r>
    </w:p>
  </w:footnote>
  <w:footnote w:id="27">
    <w:p>
      <w:pPr>
        <w:pStyle w:val="FootnoteText"/>
      </w:pPr>
      <w:r>
        <w:rPr>
          <w:rStyle w:val="FootnoteReference"/>
        </w:rPr>
        <w:footnoteRef/>
      </w:r>
      <w:r>
        <w:t xml:space="preserve"> </w:t>
      </w:r>
      <w:r>
        <w:t xml:space="preserve">八代集とは、古今集、後撰集、拾遺集、後拾遺集、金葉集、詞花集、千載集、新古今集の8つの勅撰和歌集を指す。</w:t>
      </w:r>
    </w:p>
  </w:footnote>
  <w:footnote w:id="28">
    <w:p>
      <w:pPr>
        <w:pStyle w:val="FootnoteText"/>
      </w:pPr>
      <w:r>
        <w:rPr>
          <w:rStyle w:val="FootnoteReference"/>
        </w:rPr>
        <w:footnoteRef/>
      </w:r>
      <w:r>
        <w:t xml:space="preserve"> </w:t>
      </w:r>
      <w:r>
        <w:t xml:space="preserve">本居の意図は、古今集を注釈することではなく、和歌の価値を広く伝えることにあった。そのため、他の現代語訳と同等に扱うことはできない。</w:t>
      </w:r>
      <w:r>
        <w:t xml:space="preserve">Shiozawa (1993)</w:t>
      </w:r>
      <w:r>
        <w:t xml:space="preserve"> </w:t>
      </w:r>
      <w:r>
        <w:t xml:space="preserve">によれば、宣長の翻訳が江戸時代の口語表現をどのように反映しているかは不明であり、実際に使われていた語彙や意味の検証が必要であるため、本研究では対象外とする。</w:t>
      </w:r>
    </w:p>
  </w:footnote>
  <w:footnote w:id="46">
    <w:p>
      <w:pPr>
        <w:pStyle w:val="FootnoteText"/>
      </w:pPr>
      <w:r>
        <w:rPr>
          <w:rStyle w:val="FootnoteReference"/>
        </w:rPr>
        <w:footnoteRef/>
      </w:r>
      <w:r>
        <w:t xml:space="preserve"> </w:t>
      </w:r>
      <w:r>
        <w:t xml:space="preserve">計算のスクリプトは、ほかの選択肢を与えている。</w:t>
      </w:r>
    </w:p>
  </w:footnote>
  <w:footnote w:id="48">
    <w:p>
      <w:pPr>
        <w:pStyle w:val="FootnoteText"/>
      </w:pPr>
      <w:r>
        <w:rPr>
          <w:rStyle w:val="FootnoteReference"/>
        </w:rPr>
        <w:footnoteRef/>
      </w:r>
      <w:r>
        <w:t xml:space="preserve"> </w:t>
      </w:r>
      <w:r>
        <w:t xml:space="preserve">ここの一致率の計算の厳しさは</w:t>
      </w:r>
      <w:r>
        <w:t xml:space="preserve"> </w:t>
      </w:r>
      <m:oMath>
        <m:r>
          <m:rPr>
            <m:sty m:val="p"/>
            <m:scr m:val="double-struck"/>
          </m:rPr>
          <m:t>I</m:t>
        </m:r>
      </m:oMath>
      <w:r>
        <w:t xml:space="preserve"> </w:t>
      </w:r>
      <w:r>
        <w:t xml:space="preserve">内の条件で調節できる。ここでは、メタコードが</w:t>
      </w:r>
      <w:r>
        <w:t xml:space="preserve"> </w:t>
      </w:r>
      <m:oMath>
        <m:r>
          <m:t>E</m:t>
        </m:r>
        <m:r>
          <m:rPr>
            <m:sty m:val="p"/>
          </m:rPr>
          <m:t>,</m:t>
        </m:r>
        <m:r>
          <m:t>F</m:t>
        </m:r>
        <m:r>
          <m:rPr>
            <m:sty m:val="p"/>
          </m:rPr>
          <m:t>,</m:t>
        </m:r>
        <m:r>
          <m:t>G</m:t>
        </m:r>
      </m:oMath>
      <w:r>
        <w:t xml:space="preserve"> </w:t>
      </w:r>
      <w:r>
        <w:t xml:space="preserve">のいずれかのレベルでマッチングすることを一致するとしている。</w:t>
      </w:r>
    </w:p>
  </w:footnote>
  <w:footnote w:id="49">
    <w:p>
      <w:pPr>
        <w:pStyle w:val="FootnoteText"/>
      </w:pPr>
      <w:r>
        <w:rPr>
          <w:rStyle w:val="FootnoteReference"/>
        </w:rPr>
        <w:footnoteRef/>
      </w:r>
      <w:r>
        <w:t xml:space="preserve"> </w:t>
      </w:r>
      <w:r>
        <w:t xml:space="preserve">そのかわりに、本稿ではデータベースを利用して 3 パターンの単位基準の入力を提供している：多義性と複合単位を無視し短単位のみでの計算、多義性を無視し複合単位を優先する計算と、多義性の複合単位の潜在的構成要素をそのまま残す計算が選択できる。ただし、結果の報告では短単位で進める。</w:t>
      </w:r>
    </w:p>
  </w:footnote>
  <w:footnote w:id="51">
    <w:p>
      <w:pPr>
        <w:pStyle w:val="FootnoteText"/>
      </w:pPr>
      <w:r>
        <w:rPr>
          <w:rStyle w:val="FootnoteReference"/>
        </w:rPr>
        <w:footnoteRef/>
      </w:r>
      <w:r>
        <w:t xml:space="preserve"> </w:t>
      </w:r>
      <w:r>
        <w:t xml:space="preserve">単純に観測からして、和歌の翻訳で遠い対応が多く存在しているので、ギャップペナルティは 0.01 と設定することで、遠くの語の対応を許容させる。</w:t>
      </w:r>
    </w:p>
  </w:footnote>
  <w:footnote w:id="52">
    <w:p>
      <w:pPr>
        <w:pStyle w:val="FootnoteText"/>
      </w:pPr>
      <w:r>
        <w:rPr>
          <w:rStyle w:val="FootnoteReference"/>
        </w:rPr>
        <w:footnoteRef/>
      </w:r>
      <w:r>
        <w:t xml:space="preserve"> </w:t>
      </w:r>
      <w:r>
        <w:t xml:space="preserve">ここでは、整列されたのでもちろん</w:t>
      </w:r>
      <w:r>
        <w:t xml:space="preserve"> </w:t>
      </w:r>
      <m:oMath>
        <m:d>
          <m:dPr>
            <m:begChr m:val="|"/>
            <m:endChr m:val="|"/>
            <m:sepChr m:val=""/>
            <m:grow/>
          </m:dPr>
          <m:e>
            <m:sSup>
              <m:e>
                <m:r>
                  <m:t>S</m:t>
                </m:r>
              </m:e>
              <m:sup>
                <m:r>
                  <m:rPr>
                    <m:sty m:val="p"/>
                  </m:rPr>
                  <m:t>′</m:t>
                </m:r>
              </m:sup>
            </m:sSup>
          </m:e>
        </m:d>
        <m:r>
          <m:rPr>
            <m:sty m:val="p"/>
          </m:rPr>
          <m:t>=</m:t>
        </m:r>
        <m:d>
          <m:dPr>
            <m:begChr m:val="|"/>
            <m:endChr m:val="|"/>
            <m:sepChr m:val=""/>
            <m:grow/>
          </m:dPr>
          <m:e>
            <m:sSup>
              <m:e>
                <m:r>
                  <m:t>T</m:t>
                </m:r>
              </m:e>
              <m:sup>
                <m:r>
                  <m:rPr>
                    <m:sty m:val="p"/>
                  </m:rPr>
                  <m:t>′</m:t>
                </m:r>
              </m:sup>
            </m:sSup>
          </m:e>
        </m:d>
      </m:oMath>
      <w:r>
        <w:t xml:space="preserve"> </w:t>
      </w:r>
      <w:r>
        <w:t xml:space="preserve">になっている。</w:t>
      </w:r>
    </w:p>
  </w:footnote>
  <w:footnote w:id="55">
    <w:p>
      <w:pPr>
        <w:pStyle w:val="FootnoteText"/>
      </w:pPr>
      <w:r>
        <w:rPr>
          <w:rStyle w:val="FootnoteReference"/>
        </w:rPr>
        <w:footnoteRef/>
      </w:r>
      <w:r>
        <w:t xml:space="preserve"> </w:t>
      </w:r>
      <w:r>
        <w:t xml:space="preserve">ここでは前述したようにバッグ法によって算出された追加率を用いる。</w:t>
      </w:r>
    </w:p>
  </w:footnote>
  <w:footnote w:id="56">
    <w:p>
      <w:pPr>
        <w:pStyle w:val="FootnoteText"/>
      </w:pPr>
      <w:r>
        <w:rPr>
          <w:rStyle w:val="FootnoteReference"/>
        </w:rPr>
        <w:footnoteRef/>
      </w:r>
      <w:r>
        <w:t xml:space="preserve"> </w:t>
      </w:r>
      <w:r>
        <w:t xml:space="preserve">計算された応答変数は、</w:t>
      </w:r>
      <m:oMath>
        <m:d>
          <m:dPr>
            <m:begChr m:val="("/>
            <m:endChr m:val=")"/>
            <m:sepChr m:val=""/>
            <m:grow/>
          </m:dPr>
          <m:e>
            <m:r>
              <m:t>0</m:t>
            </m:r>
            <m:r>
              <m:rPr>
                <m:sty m:val="p"/>
              </m:rPr>
              <m:t>,</m:t>
            </m:r>
            <m:r>
              <m:t>1</m:t>
            </m:r>
          </m:e>
        </m:d>
      </m:oMath>
      <w:r>
        <w:t xml:space="preserve"> </w:t>
      </w:r>
      <w:r>
        <w:t xml:space="preserve">の区間にあり、二項分布を仮定して用いることも考えられる。ただし、二項分布を用いる場合は、現代語訳文の全語数と追加に相当する語数の情報が必要であり、本稿の計算は</w:t>
      </w:r>
      <w:r>
        <w:t xml:space="preserve"> </w:t>
      </w:r>
      <w:r>
        <w:t xml:space="preserve">Yamamoto and Hodošček (2019)</w:t>
      </w:r>
      <w:r>
        <w:t xml:space="preserve"> </w:t>
      </w:r>
      <w:r>
        <w:t xml:space="preserve">の計算結果を踏まえたため、全語数について情報が不足していることを前提としないベータ分布を用いる。</w:t>
      </w:r>
    </w:p>
  </w:footnote>
  <w:footnote w:id="57">
    <w:p>
      <w:pPr>
        <w:pStyle w:val="FootnoteText"/>
      </w:pPr>
      <w:r>
        <w:rPr>
          <w:rStyle w:val="FootnoteReference"/>
        </w:rPr>
        <w:footnoteRef/>
      </w:r>
      <w:r>
        <w:t xml:space="preserve"> </w:t>
      </w:r>
      <w:r>
        <w:t xml:space="preserve">ここでは、事後最狭信用区間 (Highest posterior density interval) を用いる。</w:t>
      </w:r>
    </w:p>
  </w:footnote>
  <w:footnote w:id="59">
    <w:p>
      <w:pPr>
        <w:pStyle w:val="FootnoteText"/>
      </w:pPr>
      <w:r>
        <w:rPr>
          <w:rStyle w:val="FootnoteReference"/>
        </w:rPr>
        <w:footnoteRef/>
      </w:r>
      <w:r>
        <w:t xml:space="preserve"> </w:t>
      </w:r>
      <w:r>
        <w:t xml:space="preserve">形態素解析システム Chasen を用いたため、Chasen の ID が 60 以前のもの</w:t>
      </w:r>
    </w:p>
  </w:footnote>
  <w:footnote w:id="60">
    <w:p>
      <w:pPr>
        <w:pStyle w:val="FootnoteText"/>
      </w:pPr>
      <w:r>
        <w:rPr>
          <w:rStyle w:val="FootnoteReference"/>
        </w:rPr>
        <w:footnoteRef/>
      </w:r>
      <w:r>
        <w:t xml:space="preserve"> </w:t>
      </w:r>
      <w:r>
        <w:t xml:space="preserve">詳細は補足資料を参照されたい。</w:t>
      </w:r>
    </w:p>
  </w:footnote>
  <w:footnote w:id="63">
    <w:p>
      <w:pPr>
        <w:pStyle w:val="FootnoteText"/>
      </w:pPr>
      <w:r>
        <w:rPr>
          <w:rStyle w:val="FootnoteReference"/>
        </w:rPr>
        <w:footnoteRef/>
      </w:r>
      <w:r>
        <w:t xml:space="preserve"> </w:t>
      </w:r>
      <w:r>
        <w:t xml:space="preserve">あからさまに説明せず、ただその姿を眼前に思い浮ばせるようにする漢文の表現法</w:t>
      </w:r>
    </w:p>
  </w:footnote>
  <w:footnote w:id="65">
    <w:p>
      <w:pPr>
        <w:pStyle w:val="FootnoteText"/>
      </w:pPr>
      <w:r>
        <w:rPr>
          <w:rStyle w:val="FootnoteReference"/>
        </w:rPr>
        <w:footnoteRef/>
      </w:r>
      <w:r>
        <w:t xml:space="preserve"> </w:t>
      </w:r>
      <w:r>
        <w:t xml:space="preserve">契沖の「古今和歌集余材抄」以来のの 7 種の注釈書の注を統合したはじめてのものである。竹岡はこの注釈書にて文学研究に分析的アプローチを組み込んでいる。竹岡は賀茂真淵、香川景樹の仕事を分析に根拠がないとして同意できないとしている一方で、契沖、本居宣長、富士谷成章 (1738–79) らの注釈を評価している。加えて、特に古典文法、語彙の観点から 7 種すべての古注間の違いについて慎重に議論している。</w:t>
      </w:r>
    </w:p>
  </w:footnote>
  <w:footnote w:id="90">
    <w:p>
      <w:pPr>
        <w:pStyle w:val="FootnoteText"/>
      </w:pPr>
      <w:r>
        <w:rPr>
          <w:rStyle w:val="FootnoteReference"/>
        </w:rPr>
        <w:footnoteRef/>
      </w:r>
      <w:r>
        <w:t xml:space="preserve"> </w:t>
      </w:r>
      <w:r>
        <w:t xml:space="preserve">KSJ (404) もまた極端に短く、序詞がやはり省略されている。</w:t>
      </w:r>
    </w:p>
  </w:footnote>
  <w:footnote w:id="140">
    <w:p>
      <w:pPr>
        <w:pStyle w:val="FootnoteText"/>
      </w:pPr>
      <w:r>
        <w:rPr>
          <w:rStyle w:val="FootnoteReference"/>
        </w:rPr>
        <w:footnoteRef/>
      </w:r>
      <w:r>
        <w:t xml:space="preserve"> </w:t>
      </w:r>
      <w:r>
        <w:t xml:space="preserve">Nunan (1993, 21)</w:t>
      </w:r>
      <w:r>
        <w:t xml:space="preserve"> </w:t>
      </w:r>
      <w:r>
        <w:t xml:space="preserve">によると、書き手や話し手が文や発話の境界を越えて関係を確立し、テキスト内の文を結びつけるのに役立つ語やフレーズのことを指す。例えば、「そして」「しかし」「それ」などがあげられる。</w:t>
      </w:r>
    </w:p>
  </w:footnote>
  <w:footnote w:id="141">
    <w:p>
      <w:pPr>
        <w:pStyle w:val="FootnoteText"/>
      </w:pPr>
      <w:r>
        <w:rPr>
          <w:rStyle w:val="FootnoteReference"/>
        </w:rPr>
        <w:footnoteRef/>
      </w:r>
      <w:r>
        <w:t xml:space="preserve"> </w:t>
      </w:r>
      <w:r>
        <w:t xml:space="preserve">実際、翻訳普遍性は、結局いずれも反例が存在するため、確率的な傾向、あるいは、普遍性とすることが妥当でであるとされてる</w:t>
      </w:r>
      <w:r>
        <w:t xml:space="preserve"> </w:t>
      </w:r>
      <w:r>
        <w:t xml:space="preserve">(cf., Pym 2008; Tymoczko 1998; Chesterman 2004, 2010)</w:t>
      </w:r>
      <w:r>
        <w:t xml:space="preserve">。とりもなおさず、一般性といいつつ例外が認めているわけである。</w:t>
      </w:r>
    </w:p>
  </w:footnote>
  <w:footnote w:id="142">
    <w:p>
      <w:pPr>
        <w:pStyle w:val="FootnoteText"/>
      </w:pPr>
      <w:r>
        <w:rPr>
          <w:rStyle w:val="FootnoteReference"/>
        </w:rPr>
        <w:footnoteRef/>
      </w:r>
      <w:r>
        <w:t xml:space="preserve"> </w:t>
      </w:r>
      <w:r>
        <w:t xml:space="preserve">Chesterman (2011)</w:t>
      </w:r>
      <w:r>
        <w:t xml:space="preserve"> </w:t>
      </w:r>
      <w:r>
        <w:t xml:space="preserve">によれば、this hypothesis claims that when processing a given text chunk, translator tend to start from a literal version of the target text, and then work towards a freer version.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31">
    <w:nsid w:val="00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1"/>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91" Target="media/rId91.svg" /><Relationship Type="http://schemas.openxmlformats.org/officeDocument/2006/relationships/image" Id="rId121" Target="media/rId121.svg" /><Relationship Type="http://schemas.openxmlformats.org/officeDocument/2006/relationships/image" Id="rId126" Target="media/rId126.svg" /><Relationship Type="http://schemas.openxmlformats.org/officeDocument/2006/relationships/image" Id="rId34" Target="media/rId34.svg" /><Relationship Type="http://schemas.openxmlformats.org/officeDocument/2006/relationships/image" Id="rId39" Target="media/rId39.svg" /><Relationship Type="http://schemas.openxmlformats.org/officeDocument/2006/relationships/image" Id="rId71" Target="media/rId71.png" /><Relationship Type="http://schemas.openxmlformats.org/officeDocument/2006/relationships/image" Id="rId114" Target="media/rId114.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75" Target="media/rId75.png" /><Relationship Type="http://schemas.openxmlformats.org/officeDocument/2006/relationships/image" Id="rId100" Target="media/rId100.png" /><Relationship Type="http://schemas.openxmlformats.org/officeDocument/2006/relationships/image" Id="rId124" Target="media/rId124.png" /><Relationship Type="http://schemas.openxmlformats.org/officeDocument/2006/relationships/image" Id="rId129" Target="media/rId129.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94" Target="media/rId94.png" /><Relationship Type="http://schemas.openxmlformats.org/officeDocument/2006/relationships/hyperlink" Id="rId184" Target="https://doi.org/10.1073/pnas.69.1.4" TargetMode="External" /><Relationship Type="http://schemas.openxmlformats.org/officeDocument/2006/relationships/hyperlink" Id="rId161" Target="https://doi.org/10.1075/btl.133.03car" TargetMode="External" /><Relationship Type="http://schemas.openxmlformats.org/officeDocument/2006/relationships/hyperlink" Id="rId153" Target="https://doi.org/10.1075/btl.18.17bak" TargetMode="External" /><Relationship Type="http://schemas.openxmlformats.org/officeDocument/2006/relationships/hyperlink" Id="rId165" Target="https://doi.org/10.1075/btl.50.02che" TargetMode="External" /><Relationship Type="http://schemas.openxmlformats.org/officeDocument/2006/relationships/hyperlink" Id="rId181" Target="https://doi.org/10.1075/btl.75.24pym" TargetMode="External" /><Relationship Type="http://schemas.openxmlformats.org/officeDocument/2006/relationships/hyperlink" Id="rId168" Target="https://doi.org/10.1075/btl.94.05che" TargetMode="External" /><Relationship Type="http://schemas.openxmlformats.org/officeDocument/2006/relationships/hyperlink" Id="rId170" Target="https://doi.org/10.1075/forum.15.1.03rob" TargetMode="External" /><Relationship Type="http://schemas.openxmlformats.org/officeDocument/2006/relationships/hyperlink" Id="rId158" Target="https://doi.org/10.18637/jss.v080.i01" TargetMode="External" /><Relationship Type="http://schemas.openxmlformats.org/officeDocument/2006/relationships/hyperlink" Id="rId202" Target="https://doi.org/10.37716/HBAB.2020010203" TargetMode="External" /><Relationship Type="http://schemas.openxmlformats.org/officeDocument/2006/relationships/hyperlink" Id="rId190" Target="https://doi.org/10.4324/9780203594070" TargetMode="External" /><Relationship Type="http://schemas.openxmlformats.org/officeDocument/2006/relationships/hyperlink" Id="rId179" Target="https://doi.org/10.48694/jcls.100" TargetMode="External" /><Relationship Type="http://schemas.openxmlformats.org/officeDocument/2006/relationships/hyperlink" Id="rId163" Target="https://doi.org/10.48694/jcls.3596" TargetMode="External" /><Relationship Type="http://schemas.openxmlformats.org/officeDocument/2006/relationships/hyperlink" Id="rId195" Target="https://doi.org/10.7202/004515ar" TargetMode="External" /><Relationship Type="http://schemas.openxmlformats.org/officeDocument/2006/relationships/hyperlink" Id="rId156" Target="https://doi.org/ggfntd" TargetMode="External" /><Relationship Type="http://schemas.openxmlformats.org/officeDocument/2006/relationships/hyperlink" Id="rId149" Target="https://github.com/idiig/replication-test/blob/main/supplementary-materials/&#35036;&#36275;&#36039;&#26009;%20Supplementary%20materials.pdf" TargetMode="External" /><Relationship Type="http://schemas.openxmlformats.org/officeDocument/2006/relationships/hyperlink" Id="rId150" Target="https://github.com/idiig/replication-test/tree/main" TargetMode="External" /></Relationships>
</file>

<file path=word/_rels/footnotes.xml.rels><?xml version="1.0" encoding="UTF-8"?><Relationships xmlns="http://schemas.openxmlformats.org/package/2006/relationships"><Relationship Type="http://schemas.openxmlformats.org/officeDocument/2006/relationships/hyperlink" Id="rId184" Target="https://doi.org/10.1073/pnas.69.1.4" TargetMode="External" /><Relationship Type="http://schemas.openxmlformats.org/officeDocument/2006/relationships/hyperlink" Id="rId161" Target="https://doi.org/10.1075/btl.133.03car" TargetMode="External" /><Relationship Type="http://schemas.openxmlformats.org/officeDocument/2006/relationships/hyperlink" Id="rId153" Target="https://doi.org/10.1075/btl.18.17bak" TargetMode="External" /><Relationship Type="http://schemas.openxmlformats.org/officeDocument/2006/relationships/hyperlink" Id="rId165" Target="https://doi.org/10.1075/btl.50.02che" TargetMode="External" /><Relationship Type="http://schemas.openxmlformats.org/officeDocument/2006/relationships/hyperlink" Id="rId181" Target="https://doi.org/10.1075/btl.75.24pym" TargetMode="External" /><Relationship Type="http://schemas.openxmlformats.org/officeDocument/2006/relationships/hyperlink" Id="rId168" Target="https://doi.org/10.1075/btl.94.05che" TargetMode="External" /><Relationship Type="http://schemas.openxmlformats.org/officeDocument/2006/relationships/hyperlink" Id="rId170" Target="https://doi.org/10.1075/forum.15.1.03rob" TargetMode="External" /><Relationship Type="http://schemas.openxmlformats.org/officeDocument/2006/relationships/hyperlink" Id="rId158" Target="https://doi.org/10.18637/jss.v080.i01" TargetMode="External" /><Relationship Type="http://schemas.openxmlformats.org/officeDocument/2006/relationships/hyperlink" Id="rId202" Target="https://doi.org/10.37716/HBAB.2020010203" TargetMode="External" /><Relationship Type="http://schemas.openxmlformats.org/officeDocument/2006/relationships/hyperlink" Id="rId190" Target="https://doi.org/10.4324/9780203594070" TargetMode="External" /><Relationship Type="http://schemas.openxmlformats.org/officeDocument/2006/relationships/hyperlink" Id="rId179" Target="https://doi.org/10.48694/jcls.100" TargetMode="External" /><Relationship Type="http://schemas.openxmlformats.org/officeDocument/2006/relationships/hyperlink" Id="rId163" Target="https://doi.org/10.48694/jcls.3596" TargetMode="External" /><Relationship Type="http://schemas.openxmlformats.org/officeDocument/2006/relationships/hyperlink" Id="rId195" Target="https://doi.org/10.7202/004515ar" TargetMode="External" /><Relationship Type="http://schemas.openxmlformats.org/officeDocument/2006/relationships/hyperlink" Id="rId156" Target="https://doi.org/ggfntd" TargetMode="External" /><Relationship Type="http://schemas.openxmlformats.org/officeDocument/2006/relationships/hyperlink" Id="rId149" Target="https://github.com/idiig/replication-test/blob/main/supplementary-materials/&#35036;&#36275;&#36039;&#26009;%20Supplementary%20materials.pdf" TargetMode="External" /><Relationship Type="http://schemas.openxmlformats.org/officeDocument/2006/relationships/hyperlink" Id="rId150" Target="https://github.com/idiig/replication-test/tree/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古今和歌集の現代語訳における追加率と追加要素の分析</dc:title>
  <dc:creator>Xudong Chen; Bor Hodošček; Hilofumi Yamamoto</dc:creator>
  <cp:keywords>歌ことば, 現代語訳, ノンリテラル情報</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筆者らは、古今和歌集の歌ことばのノンリテラル情報を可視化するシステムを開発してきたが、それに用いた現代語訳や追加要素の詳細な分析は行われていなかった。本研究の目的は、古今和歌集の現代語訳10種類が、ノンリテラル要素の可視化に適しているかどうかを分析することである。まず、現代語訳について概観し、訳者の翻訳意識を作意中心・テキスト中心・読者中心・不明の4種に分類した。次に、直訳語を持たない歌ことばの割合（不一致率）と、現代語訳における追加要素の割合（追加率）を計算し、どの訳も多くの追加要素を含むことを確認した。さらに、具体例を示し、コーパスレベルの共出現傾向に基づく推論が現代語訳にどのように反映されているかを分析した。これにより、現代語訳がノンリテラル情報の可視化に適用できることを示した。 Previous research has developed a system for visualizing non-literal information in the Kokinshū’s poetic words by adding elements in translations found in annotation books. However, detailed analysis of these translations and the added elements has not been conducted. This study aims to evaluate whether the ten contemporary Japanese translations of the Kokinshū used in prior studies are suitable for visualizing non-literal elements. First, we review these translations and categorize the translators’ approaches as poet-focused, text-focused, reader-focused, or unclear. We then calculate the unmatch rate (the proportion of poetic words without direct equivalents) and the addition rate (the proportion of added elements) to see how elements were incorporated. Finally, we provide case analyses of specific examples, showing how corpus-level co-occurrence tendencies influenced the addition of elements to clarify meanings. Our findings show that despite varied approaches, the translations contain similar levels of added elements, suggesting that contemporary translations can effectively visualize the non-literal aspects of the Kokinshū’s original text.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rossref">
    <vt:lpwstr/>
  </property>
  <property fmtid="{D5CDD505-2E9C-101B-9397-08002B2CF9AE}" pid="13" name="date">
    <vt:lpwstr>2024-09-01</vt:lpwstr>
  </property>
  <property fmtid="{D5CDD505-2E9C-101B-9397-08002B2CF9AE}" pid="14" name="execute">
    <vt:lpwstr/>
  </property>
  <property fmtid="{D5CDD505-2E9C-101B-9397-08002B2CF9AE}" pid="15" name="fig_caption">
    <vt:lpwstr>True</vt:lpwstr>
  </property>
  <property fmtid="{D5CDD505-2E9C-101B-9397-08002B2CF9AE}" pid="16" name="funding">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ey-points">
    <vt:lpwstr/>
  </property>
  <property fmtid="{D5CDD505-2E9C-101B-9397-08002B2CF9AE}" pid="21" name="labels">
    <vt:lpwstr/>
  </property>
  <property fmtid="{D5CDD505-2E9C-101B-9397-08002B2CF9AE}" pid="22" name="license">
    <vt:lpwstr/>
  </property>
  <property fmtid="{D5CDD505-2E9C-101B-9397-08002B2CF9AE}" pid="23" name="toc-title">
    <vt:lpwstr>目次</vt:lpwstr>
  </property>
</Properties>
</file>