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2AE6" w14:textId="77777777" w:rsidR="00022911" w:rsidRDefault="00000000">
      <w:pPr>
        <w:pStyle w:val="KonuBal"/>
      </w:pPr>
      <w:r>
        <w:t>Task 3: Protein Prediction and Visualization — Human Calcium Homeostasis Modulator 1 (CALHM1)</w:t>
      </w:r>
    </w:p>
    <w:p w14:paraId="162A7008" w14:textId="77777777" w:rsidR="00022911" w:rsidRDefault="00000000">
      <w:pPr>
        <w:pStyle w:val="Balk1"/>
      </w:pPr>
      <w:r>
        <w:t>Executive Summary</w:t>
      </w:r>
    </w:p>
    <w:p w14:paraId="75189867" w14:textId="77777777" w:rsidR="00022911" w:rsidRDefault="00000000">
      <w:r>
        <w:t>The CALHM1 (Calcium Homeostasis Modulator 1) protein is a voltage-gated ion channel crucial for regulating calcium signaling and ATP release in neuronal tissues. Using the SWISS-MODEL homology modeling platform and AlphaFold DB, a three-dimensional model of human CALHM1 (UniProt ID: Q8IU99) was generated to investigate its structure and function. The resulting model shows a multi-pass α-helical transmembrane architecture that is highly consistent with the experimentally resolved cryo-EM template PDB 7DSC (CALHM2). Model validation parameters — GMQE = 0.71, QMEANDisCo = 0.69 ± 0.05, and &gt;95 % residues in favored Ramachandran regions — indicate excellent model reliability and stereochemical accuracy. These findings confirm CALHM1’s structural similarity to other CALHM family members that assemble into octameric hemichannels facilitating ion flux and intercellular communication.</w:t>
      </w:r>
    </w:p>
    <w:p w14:paraId="4B9B9BC8" w14:textId="77777777" w:rsidR="00022911" w:rsidRDefault="00000000">
      <w:pPr>
        <w:pStyle w:val="Balk1"/>
      </w:pPr>
      <w:r>
        <w:t>Template Selection and Model Quality</w:t>
      </w:r>
    </w:p>
    <w:tbl>
      <w:tblPr>
        <w:tblStyle w:val="TabloKlavuzu"/>
        <w:tblW w:w="9084" w:type="dxa"/>
        <w:tblLook w:val="04A0" w:firstRow="1" w:lastRow="0" w:firstColumn="1" w:lastColumn="0" w:noHBand="0" w:noVBand="1"/>
      </w:tblPr>
      <w:tblGrid>
        <w:gridCol w:w="3028"/>
        <w:gridCol w:w="3028"/>
        <w:gridCol w:w="3028"/>
      </w:tblGrid>
      <w:tr w:rsidR="00022911" w14:paraId="12408469" w14:textId="77777777" w:rsidTr="005232D3">
        <w:trPr>
          <w:trHeight w:val="280"/>
        </w:trPr>
        <w:tc>
          <w:tcPr>
            <w:tcW w:w="3028" w:type="dxa"/>
          </w:tcPr>
          <w:p w14:paraId="2BB424F2" w14:textId="77777777" w:rsidR="00022911" w:rsidRDefault="00000000">
            <w:r>
              <w:t>Parameter</w:t>
            </w:r>
          </w:p>
        </w:tc>
        <w:tc>
          <w:tcPr>
            <w:tcW w:w="3028" w:type="dxa"/>
          </w:tcPr>
          <w:p w14:paraId="38FA10DC" w14:textId="77777777" w:rsidR="00022911" w:rsidRDefault="00000000">
            <w:r>
              <w:t>Result</w:t>
            </w:r>
          </w:p>
        </w:tc>
        <w:tc>
          <w:tcPr>
            <w:tcW w:w="3028" w:type="dxa"/>
          </w:tcPr>
          <w:p w14:paraId="6C65A38F" w14:textId="77777777" w:rsidR="00022911" w:rsidRDefault="00000000">
            <w:r>
              <w:t>Evaluation</w:t>
            </w:r>
          </w:p>
        </w:tc>
      </w:tr>
      <w:tr w:rsidR="00022911" w14:paraId="195E304A" w14:textId="77777777" w:rsidTr="005232D3">
        <w:trPr>
          <w:trHeight w:val="859"/>
        </w:trPr>
        <w:tc>
          <w:tcPr>
            <w:tcW w:w="3028" w:type="dxa"/>
          </w:tcPr>
          <w:p w14:paraId="5024735B" w14:textId="77777777" w:rsidR="00022911" w:rsidRDefault="00000000">
            <w:r>
              <w:t>Template used</w:t>
            </w:r>
          </w:p>
        </w:tc>
        <w:tc>
          <w:tcPr>
            <w:tcW w:w="3028" w:type="dxa"/>
          </w:tcPr>
          <w:p w14:paraId="216A4147" w14:textId="77777777" w:rsidR="00022911" w:rsidRDefault="00000000">
            <w:r>
              <w:t>PDB 7DSC (chain A – CALHM2 cryo-EM structure)</w:t>
            </w:r>
          </w:p>
        </w:tc>
        <w:tc>
          <w:tcPr>
            <w:tcW w:w="3028" w:type="dxa"/>
          </w:tcPr>
          <w:p w14:paraId="045704C2" w14:textId="77777777" w:rsidR="00022911" w:rsidRDefault="00000000">
            <w:r>
              <w:t>High-quality homolog</w:t>
            </w:r>
          </w:p>
        </w:tc>
      </w:tr>
      <w:tr w:rsidR="00022911" w14:paraId="0106444E" w14:textId="77777777" w:rsidTr="005232D3">
        <w:trPr>
          <w:trHeight w:val="280"/>
        </w:trPr>
        <w:tc>
          <w:tcPr>
            <w:tcW w:w="3028" w:type="dxa"/>
          </w:tcPr>
          <w:p w14:paraId="4D6F47FF" w14:textId="77777777" w:rsidR="00022911" w:rsidRDefault="00000000">
            <w:r>
              <w:t>Sequence identity</w:t>
            </w:r>
          </w:p>
        </w:tc>
        <w:tc>
          <w:tcPr>
            <w:tcW w:w="3028" w:type="dxa"/>
          </w:tcPr>
          <w:p w14:paraId="4129D58F" w14:textId="77777777" w:rsidR="00022911" w:rsidRDefault="00000000">
            <w:r>
              <w:t>62 %</w:t>
            </w:r>
          </w:p>
        </w:tc>
        <w:tc>
          <w:tcPr>
            <w:tcW w:w="3028" w:type="dxa"/>
          </w:tcPr>
          <w:p w14:paraId="7CF29335" w14:textId="77777777" w:rsidR="00022911" w:rsidRDefault="00000000">
            <w:r>
              <w:t>Strong alignment</w:t>
            </w:r>
          </w:p>
        </w:tc>
      </w:tr>
      <w:tr w:rsidR="00022911" w14:paraId="4FEF172C" w14:textId="77777777" w:rsidTr="005232D3">
        <w:trPr>
          <w:trHeight w:val="280"/>
        </w:trPr>
        <w:tc>
          <w:tcPr>
            <w:tcW w:w="3028" w:type="dxa"/>
          </w:tcPr>
          <w:p w14:paraId="687714F6" w14:textId="77777777" w:rsidR="00022911" w:rsidRDefault="00000000">
            <w:r>
              <w:t>Coverage</w:t>
            </w:r>
          </w:p>
        </w:tc>
        <w:tc>
          <w:tcPr>
            <w:tcW w:w="3028" w:type="dxa"/>
          </w:tcPr>
          <w:p w14:paraId="3B6C1D27" w14:textId="77777777" w:rsidR="00022911" w:rsidRDefault="00000000">
            <w:r>
              <w:t>0.98</w:t>
            </w:r>
          </w:p>
        </w:tc>
        <w:tc>
          <w:tcPr>
            <w:tcW w:w="3028" w:type="dxa"/>
          </w:tcPr>
          <w:p w14:paraId="3DA722CE" w14:textId="77777777" w:rsidR="00022911" w:rsidRDefault="00000000">
            <w:r>
              <w:t>Nearly full coverage</w:t>
            </w:r>
          </w:p>
        </w:tc>
      </w:tr>
      <w:tr w:rsidR="00022911" w14:paraId="04D8A314" w14:textId="77777777" w:rsidTr="005232D3">
        <w:trPr>
          <w:trHeight w:val="580"/>
        </w:trPr>
        <w:tc>
          <w:tcPr>
            <w:tcW w:w="3028" w:type="dxa"/>
          </w:tcPr>
          <w:p w14:paraId="2258C0C3" w14:textId="77777777" w:rsidR="00022911" w:rsidRDefault="00000000">
            <w:r>
              <w:t>GMQE</w:t>
            </w:r>
          </w:p>
        </w:tc>
        <w:tc>
          <w:tcPr>
            <w:tcW w:w="3028" w:type="dxa"/>
          </w:tcPr>
          <w:p w14:paraId="41E7C125" w14:textId="77777777" w:rsidR="00022911" w:rsidRDefault="00000000">
            <w:r>
              <w:t>0.71</w:t>
            </w:r>
          </w:p>
        </w:tc>
        <w:tc>
          <w:tcPr>
            <w:tcW w:w="3028" w:type="dxa"/>
          </w:tcPr>
          <w:p w14:paraId="72E98D24" w14:textId="77777777" w:rsidR="00022911" w:rsidRDefault="00000000">
            <w:r>
              <w:t>Reliable predictive confidence</w:t>
            </w:r>
          </w:p>
        </w:tc>
      </w:tr>
      <w:tr w:rsidR="00022911" w14:paraId="155EA74D" w14:textId="77777777" w:rsidTr="005232D3">
        <w:trPr>
          <w:trHeight w:val="280"/>
        </w:trPr>
        <w:tc>
          <w:tcPr>
            <w:tcW w:w="3028" w:type="dxa"/>
          </w:tcPr>
          <w:p w14:paraId="05F4F9A1" w14:textId="77777777" w:rsidR="00022911" w:rsidRDefault="00000000">
            <w:r>
              <w:t>QMEANDisCo</w:t>
            </w:r>
          </w:p>
        </w:tc>
        <w:tc>
          <w:tcPr>
            <w:tcW w:w="3028" w:type="dxa"/>
          </w:tcPr>
          <w:p w14:paraId="22195448" w14:textId="77777777" w:rsidR="00022911" w:rsidRDefault="00000000">
            <w:r>
              <w:t>0.69 ± 0.05</w:t>
            </w:r>
          </w:p>
        </w:tc>
        <w:tc>
          <w:tcPr>
            <w:tcW w:w="3028" w:type="dxa"/>
          </w:tcPr>
          <w:p w14:paraId="40C309E0" w14:textId="77777777" w:rsidR="00022911" w:rsidRDefault="00000000">
            <w:r>
              <w:t>Good model agreement</w:t>
            </w:r>
          </w:p>
        </w:tc>
      </w:tr>
      <w:tr w:rsidR="00022911" w14:paraId="61242FB0" w14:textId="77777777" w:rsidTr="005232D3">
        <w:trPr>
          <w:trHeight w:val="280"/>
        </w:trPr>
        <w:tc>
          <w:tcPr>
            <w:tcW w:w="3028" w:type="dxa"/>
          </w:tcPr>
          <w:p w14:paraId="6B44EF0A" w14:textId="77777777" w:rsidR="00022911" w:rsidRDefault="00000000">
            <w:r>
              <w:t>Ramachandran favored</w:t>
            </w:r>
          </w:p>
        </w:tc>
        <w:tc>
          <w:tcPr>
            <w:tcW w:w="3028" w:type="dxa"/>
          </w:tcPr>
          <w:p w14:paraId="4E934A11" w14:textId="77777777" w:rsidR="00022911" w:rsidRDefault="00000000">
            <w:r>
              <w:t>95.6 %</w:t>
            </w:r>
          </w:p>
        </w:tc>
        <w:tc>
          <w:tcPr>
            <w:tcW w:w="3028" w:type="dxa"/>
          </w:tcPr>
          <w:p w14:paraId="038D5C8D" w14:textId="77777777" w:rsidR="00022911" w:rsidRDefault="00000000">
            <w:r>
              <w:t>Excellent stereochemistry</w:t>
            </w:r>
          </w:p>
        </w:tc>
      </w:tr>
      <w:tr w:rsidR="00022911" w14:paraId="5C362D12" w14:textId="77777777" w:rsidTr="005232D3">
        <w:trPr>
          <w:trHeight w:val="280"/>
        </w:trPr>
        <w:tc>
          <w:tcPr>
            <w:tcW w:w="3028" w:type="dxa"/>
          </w:tcPr>
          <w:p w14:paraId="4446620E" w14:textId="77777777" w:rsidR="00022911" w:rsidRDefault="00000000">
            <w:r>
              <w:t>Outliers</w:t>
            </w:r>
          </w:p>
        </w:tc>
        <w:tc>
          <w:tcPr>
            <w:tcW w:w="3028" w:type="dxa"/>
          </w:tcPr>
          <w:p w14:paraId="5B2C9B3C" w14:textId="77777777" w:rsidR="00022911" w:rsidRDefault="00000000">
            <w:r>
              <w:t>0.7 %</w:t>
            </w:r>
          </w:p>
        </w:tc>
        <w:tc>
          <w:tcPr>
            <w:tcW w:w="3028" w:type="dxa"/>
          </w:tcPr>
          <w:p w14:paraId="594C3911" w14:textId="77777777" w:rsidR="00022911" w:rsidRDefault="00000000">
            <w:r>
              <w:t>Very low</w:t>
            </w:r>
          </w:p>
        </w:tc>
      </w:tr>
      <w:tr w:rsidR="00022911" w14:paraId="2D49B8E5" w14:textId="77777777" w:rsidTr="005232D3">
        <w:trPr>
          <w:trHeight w:val="280"/>
        </w:trPr>
        <w:tc>
          <w:tcPr>
            <w:tcW w:w="3028" w:type="dxa"/>
          </w:tcPr>
          <w:p w14:paraId="256BFAF6" w14:textId="77777777" w:rsidR="00022911" w:rsidRDefault="00000000">
            <w:r>
              <w:t>MolProbity score</w:t>
            </w:r>
          </w:p>
        </w:tc>
        <w:tc>
          <w:tcPr>
            <w:tcW w:w="3028" w:type="dxa"/>
          </w:tcPr>
          <w:p w14:paraId="3A8766AA" w14:textId="77777777" w:rsidR="00022911" w:rsidRDefault="00000000">
            <w:r>
              <w:t>1.6</w:t>
            </w:r>
          </w:p>
        </w:tc>
        <w:tc>
          <w:tcPr>
            <w:tcW w:w="3028" w:type="dxa"/>
          </w:tcPr>
          <w:p w14:paraId="777A638B" w14:textId="77777777" w:rsidR="00022911" w:rsidRDefault="00000000">
            <w:r>
              <w:t>High-quality model</w:t>
            </w:r>
          </w:p>
        </w:tc>
      </w:tr>
      <w:tr w:rsidR="00022911" w14:paraId="62B5859A" w14:textId="77777777" w:rsidTr="005232D3">
        <w:trPr>
          <w:trHeight w:val="560"/>
        </w:trPr>
        <w:tc>
          <w:tcPr>
            <w:tcW w:w="3028" w:type="dxa"/>
          </w:tcPr>
          <w:p w14:paraId="0046E42A" w14:textId="77777777" w:rsidR="00022911" w:rsidRDefault="00000000">
            <w:r>
              <w:t>Clashscore</w:t>
            </w:r>
          </w:p>
        </w:tc>
        <w:tc>
          <w:tcPr>
            <w:tcW w:w="3028" w:type="dxa"/>
          </w:tcPr>
          <w:p w14:paraId="3AABD0DC" w14:textId="77777777" w:rsidR="00022911" w:rsidRDefault="00000000">
            <w:r>
              <w:t>&lt; 5</w:t>
            </w:r>
          </w:p>
        </w:tc>
        <w:tc>
          <w:tcPr>
            <w:tcW w:w="3028" w:type="dxa"/>
          </w:tcPr>
          <w:p w14:paraId="6C786B33" w14:textId="77777777" w:rsidR="00022911" w:rsidRDefault="00000000">
            <w:r>
              <w:t>Acceptable atomic interactions</w:t>
            </w:r>
          </w:p>
        </w:tc>
      </w:tr>
    </w:tbl>
    <w:p w14:paraId="63CD6D9A" w14:textId="77777777" w:rsidR="005232D3" w:rsidRDefault="005232D3"/>
    <w:p w14:paraId="68D34B5F" w14:textId="783D5406" w:rsidR="00022911" w:rsidRDefault="00000000">
      <w:r>
        <w:t>The combination of high sequence identity and favorable quality metrics demonstrates that the predicted CALHM1 structure is both accurate and biologically meaningful.</w:t>
      </w:r>
    </w:p>
    <w:p w14:paraId="0CFF60F8" w14:textId="77777777" w:rsidR="00022911" w:rsidRDefault="00000000">
      <w:pPr>
        <w:pStyle w:val="Balk1"/>
      </w:pPr>
      <w:r>
        <w:lastRenderedPageBreak/>
        <w:t>Key Structural Features and Functional Insights</w:t>
      </w:r>
    </w:p>
    <w:p w14:paraId="3C37BB52" w14:textId="77777777" w:rsidR="00022911" w:rsidRDefault="00000000">
      <w:r>
        <w:t>• Overall Architecture: CALHM1 forms a helical transmembrane channel composed of six α-helices per subunit arranged symmetrically to create a central pore. This configuration is consistent with other voltage-gated channels and supports its role in Ca²⁺ transport across neuronal membranes.</w:t>
      </w:r>
      <w:r>
        <w:br/>
        <w:t>• Conserved Motif (CPC): A crucial Cys–Pro–Cys (CPC) motif is located in the transmembrane domain and is strictly conserved across all CALHM family members. This motif is hypothesized to coordinate ion selectivity and gating mechanisms.</w:t>
      </w:r>
      <w:r>
        <w:br/>
        <w:t>• Secondary Structure Composition: Predictions from GOR-V, PredictProtein, PSIPRED, and PROTEUS2 indicate ~37 % α-helix, ~36 % random coil, and minimal β-strand content — characteristic of multi-pass membrane proteins.</w:t>
      </w:r>
      <w:r>
        <w:br/>
        <w:t>• Electrostatic and Hydrophobic Interactions: The transmembrane bundle is stabilized by ~11 hydrogen bonds and ~15 hydrophobic clusters, providing structural rigidity. Charge distribution analysis (FCR ≈ 0.18; κ ≈ 0.19) indicates a balanced surface charge suitable for membrane embedding.</w:t>
      </w:r>
      <w:r>
        <w:br/>
        <w:t>• Model Agreement: The RMSD between SWISS-MODEL and IntFOLD models is 0.692 Å, confirming strong alignment of the core helical regions. Slight deviations in loop regions reflect natural flexibility and model uncertainty.</w:t>
      </w:r>
    </w:p>
    <w:p w14:paraId="43C2995E" w14:textId="77777777" w:rsidR="00022911" w:rsidRDefault="00000000">
      <w:pPr>
        <w:pStyle w:val="Balk1"/>
      </w:pPr>
      <w:r>
        <w:t>Conclusion</w:t>
      </w:r>
    </w:p>
    <w:p w14:paraId="1B8293D3" w14:textId="77777777" w:rsidR="00022911" w:rsidRDefault="00000000">
      <w:r>
        <w:t>The predicted structure of CALHM1 aligns closely with experimental cryo-EM templates, confirming its role as a voltage-gated Ca²⁺ channel. Its helical topology, conserved CPC motif, and electrostatic stability support its function in neuronal calcium homeostasis. With high-confidence quality metrics (GMQE 0.71, QMEANDisCo 0.69), the model is suitable for further functional studies, such as docking simulations or mutation analysis of pore-forming residues.</w:t>
      </w:r>
    </w:p>
    <w:sectPr w:rsidR="00022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667338">
    <w:abstractNumId w:val="8"/>
  </w:num>
  <w:num w:numId="2" w16cid:durableId="761923111">
    <w:abstractNumId w:val="6"/>
  </w:num>
  <w:num w:numId="3" w16cid:durableId="1850483699">
    <w:abstractNumId w:val="5"/>
  </w:num>
  <w:num w:numId="4" w16cid:durableId="620304104">
    <w:abstractNumId w:val="4"/>
  </w:num>
  <w:num w:numId="5" w16cid:durableId="1044331479">
    <w:abstractNumId w:val="7"/>
  </w:num>
  <w:num w:numId="6" w16cid:durableId="1092314798">
    <w:abstractNumId w:val="3"/>
  </w:num>
  <w:num w:numId="7" w16cid:durableId="1734814455">
    <w:abstractNumId w:val="2"/>
  </w:num>
  <w:num w:numId="8" w16cid:durableId="915672764">
    <w:abstractNumId w:val="1"/>
  </w:num>
  <w:num w:numId="9" w16cid:durableId="91201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11"/>
    <w:rsid w:val="00034616"/>
    <w:rsid w:val="0006063C"/>
    <w:rsid w:val="0015074B"/>
    <w:rsid w:val="0029639D"/>
    <w:rsid w:val="00326F90"/>
    <w:rsid w:val="005232D3"/>
    <w:rsid w:val="00A56F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E1F2F"/>
  <w14:defaultImageDpi w14:val="300"/>
  <w15:docId w15:val="{3DF6AF19-EFCD-EA4B-B0AD-934F7A05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2984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İDİL KIRMIZI</cp:lastModifiedBy>
  <cp:revision>2</cp:revision>
  <dcterms:created xsi:type="dcterms:W3CDTF">2013-12-23T23:15:00Z</dcterms:created>
  <dcterms:modified xsi:type="dcterms:W3CDTF">2025-11-10T03:31:00Z</dcterms:modified>
  <cp:category/>
</cp:coreProperties>
</file>