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9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5"/>
        <w:gridCol w:w="863"/>
        <w:gridCol w:w="1817"/>
        <w:gridCol w:w="2295"/>
        <w:gridCol w:w="2863"/>
      </w:tblGrid>
      <w:tr w:rsidR="000E6E26" w:rsidTr="009F2029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839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001</w:t>
            </w:r>
          </w:p>
        </w:tc>
      </w:tr>
      <w:tr w:rsidR="000E6E26" w:rsidTr="009F2029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839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Allocation</w:t>
            </w:r>
          </w:p>
        </w:tc>
      </w:tr>
      <w:tr w:rsidR="000E6E26" w:rsidTr="009F2029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 By: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Updated By: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/>
            </w:pPr>
          </w:p>
        </w:tc>
      </w:tr>
      <w:tr w:rsidR="000E6E26" w:rsidTr="009F2029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Created: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Last Update:</w:t>
            </w:r>
          </w:p>
        </w:tc>
        <w:tc>
          <w:tcPr>
            <w:tcW w:w="28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0E6E26" w:rsidRDefault="000E6E26" w:rsidP="009F2029">
            <w:pPr>
              <w:spacing w:after="0"/>
            </w:pPr>
          </w:p>
        </w:tc>
      </w:tr>
      <w:tr w:rsidR="000E6E26" w:rsidTr="009F2029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Salesman (User)</w:t>
            </w:r>
          </w:p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  <w:p w:rsidR="000E6E26" w:rsidRDefault="000E6E26" w:rsidP="000E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Channel has authority to create request and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request approve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&amp;reject.</w:t>
            </w:r>
          </w:p>
          <w:p w:rsidR="000E6E26" w:rsidRDefault="000E6E26" w:rsidP="000E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HoS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has authority to create request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and request approve &amp;reject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  <w:p w:rsidR="00A21C8D" w:rsidRDefault="00A21C8D" w:rsidP="000E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Back Office for procedures and registration</w:t>
            </w:r>
          </w:p>
          <w:p w:rsidR="00A21C8D" w:rsidRDefault="00A21C8D" w:rsidP="000E6E2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After Sales for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information</w:t>
            </w:r>
          </w:p>
        </w:tc>
      </w:tr>
      <w:tr w:rsidR="000E6E26" w:rsidTr="009F2029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In this use case, User displays customer activities.</w:t>
            </w:r>
          </w:p>
        </w:tc>
      </w:tr>
      <w:tr w:rsidR="000E6E26" w:rsidTr="009F2029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6E26" w:rsidRDefault="000E6E26" w:rsidP="009F202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 xml:space="preserve">User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0E6E26" w:rsidRDefault="000E6E26" w:rsidP="009F202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ZA"/>
              </w:rPr>
              <w:t>User should be active in system.</w:t>
            </w:r>
          </w:p>
          <w:p w:rsidR="000E6E26" w:rsidRDefault="000E6E26" w:rsidP="009F202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User must be logged in to the system. </w:t>
            </w:r>
          </w:p>
          <w:p w:rsidR="000E6E26" w:rsidRDefault="000E6E26" w:rsidP="009F2029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 must be logged in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to Home Page.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Demo Menu.</w:t>
            </w:r>
          </w:p>
          <w:p w:rsidR="000E6E26" w:rsidRPr="00EB2E52" w:rsidRDefault="000E6E26" w:rsidP="000E6E26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User must click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Demo/Courtesy Allocation at Demo Menu.</w:t>
            </w:r>
          </w:p>
        </w:tc>
      </w:tr>
      <w:tr w:rsidR="000E6E26" w:rsidTr="009F2029">
        <w:trPr>
          <w:trHeight w:val="44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Post-conditions: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6E26" w:rsidRDefault="000E6E26" w:rsidP="000E6E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 allocation is created.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Demo allocation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request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forward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ed to Head of Sales.</w:t>
            </w:r>
          </w:p>
        </w:tc>
      </w:tr>
      <w:tr w:rsidR="000E6E26" w:rsidTr="009F2029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0E6E26" w:rsidRPr="00FE2945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 the request type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 (demo or courtesy)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the customer name to textbox.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 selects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vehicle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(s)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from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demo stock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delivery date to date time picker. (4.a)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return date to date time picker.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delivery location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list.</w:t>
            </w:r>
          </w:p>
          <w:p w:rsidR="000E6E26" w:rsidRPr="00C16190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return location. (7.a)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write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 motivation for the request to textbox.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selects the priority level from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drop down list (very high, high, normal)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enters potential deal size after demo usage.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clicks submit button.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If duration of demo/courtesy process is less than 3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weeks,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system sends a notification to </w:t>
            </w:r>
            <w:r w:rsidR="00C43FD3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Channel Head for approval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(13.1.b, 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13.a, 13.b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duration of demo/courtesy process is more than 3 weeks, system sends a notification to Head of Sales for approval (13.1.a, </w:t>
            </w: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13.a, 13.b)</w:t>
            </w:r>
          </w:p>
          <w:p w:rsidR="000E6E26" w:rsidRDefault="00C43FD3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After the approval from responsible, system sends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notification to Back Office and After Sales (per hour)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at the same time to complete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process requirements. (Back Office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is responsible from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legal requirements and checks (tick) required area, (</w:t>
            </w:r>
            <w:r w:rsidR="00FA592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plate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registration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) and checks required areas</w:t>
            </w:r>
            <w:r w:rsidR="00FA5927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(checkbox) </w:t>
            </w:r>
            <w:r w:rsidR="000E6E26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After Sales buys standard warranties to Germany on the system and checks required areas.)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uploads demo contract, insurance, demo/courtesy delivery form to the system. (must)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takes vehicle’s 6 photos and uploads to the system.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lastRenderedPageBreak/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prints out the Demo/Courtesy Vehicle Delivery Contract.</w:t>
            </w:r>
          </w:p>
          <w:p w:rsidR="000E6E26" w:rsidRDefault="000E6E26" w:rsidP="000E6E2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1F74A9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Demo/Courtesy allocation process ends.</w:t>
            </w:r>
          </w:p>
        </w:tc>
      </w:tr>
      <w:tr w:rsidR="000E6E26" w:rsidTr="009F2029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lastRenderedPageBreak/>
              <w:t>Extensions and Alternate Flows: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4.a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Calendar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shows availability with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3 business day buffer included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to vehicles return date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</w:t>
            </w:r>
          </w:p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7.a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ystem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creates an automatic activity on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user’s calendar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2 days before 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from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return date, sends a remainder email to the customer.</w:t>
            </w:r>
          </w:p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.a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. If Channel Head/Head of Sales rejects demo/courtesy allocation, process ends. </w:t>
            </w:r>
          </w:p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.b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Channel Head/Head of Sales offers</w:t>
            </w:r>
            <w:r w:rsidR="00A21C8D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/approves with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another time interval for demo/courtesy, the system sends an email to customer and Salesman notified on SIS. (13.b.1, 13.b.2)</w:t>
            </w:r>
          </w:p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.b.1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customer accepts new time interval process continues with 14. Step.</w:t>
            </w:r>
          </w:p>
          <w:p w:rsidR="000E6E26" w:rsidRPr="00841E3C" w:rsidRDefault="00FA5927" w:rsidP="00FA592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13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.b.2</w:t>
            </w:r>
            <w:proofErr w:type="gramEnd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. If customer rejects new time interval, demo/courtesy allocation process ends.</w:t>
            </w:r>
          </w:p>
        </w:tc>
      </w:tr>
      <w:tr w:rsidR="000E6E26" w:rsidTr="009F2029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0E6E26" w:rsidRDefault="000E6E26" w:rsidP="009F2029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 xml:space="preserve">Related Use cases: </w:t>
            </w:r>
          </w:p>
        </w:tc>
        <w:tc>
          <w:tcPr>
            <w:tcW w:w="6976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FA5927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13.1.a. Head of Sales Approval Use Case</w:t>
            </w:r>
          </w:p>
          <w:p w:rsidR="000E6E26" w:rsidRDefault="00FA5927" w:rsidP="00FA5927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13.1.b. Channel Head Approval Use Case</w:t>
            </w:r>
          </w:p>
        </w:tc>
      </w:tr>
      <w:tr w:rsidR="000E6E26" w:rsidTr="009F2029"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86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229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  <w:tc>
          <w:tcPr>
            <w:tcW w:w="286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6E26" w:rsidRDefault="000E6E26" w:rsidP="009F2029">
            <w:pPr>
              <w:spacing w:after="0"/>
            </w:pPr>
          </w:p>
        </w:tc>
      </w:tr>
    </w:tbl>
    <w:p w:rsidR="000E6E26" w:rsidRDefault="000E6E26" w:rsidP="000E6E26">
      <w:pPr>
        <w:tabs>
          <w:tab w:val="left" w:pos="5671"/>
        </w:tabs>
      </w:pPr>
      <w:r>
        <w:tab/>
      </w:r>
    </w:p>
    <w:p w:rsidR="000E6E26" w:rsidRDefault="000E6E26" w:rsidP="000E6E26"/>
    <w:p w:rsidR="000E6E26" w:rsidRDefault="000E6E26" w:rsidP="000E6E26"/>
    <w:p w:rsidR="00EA0F72" w:rsidRDefault="00EA0F72"/>
    <w:sectPr w:rsidR="00EA0F72" w:rsidSect="008B6A2D">
      <w:pgSz w:w="11906" w:h="16838"/>
      <w:pgMar w:top="1701" w:right="1559" w:bottom="1134" w:left="155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AB4FF3"/>
    <w:multiLevelType w:val="hybridMultilevel"/>
    <w:tmpl w:val="EB1C0E7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E26"/>
    <w:rsid w:val="000E6E26"/>
    <w:rsid w:val="008B6A2D"/>
    <w:rsid w:val="00A21C8D"/>
    <w:rsid w:val="00C43FD3"/>
    <w:rsid w:val="00EA0F72"/>
    <w:rsid w:val="00FA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6E26"/>
    <w:pPr>
      <w:ind w:left="720"/>
      <w:contextualSpacing/>
    </w:pPr>
    <w:rPr>
      <w:rFonts w:ascii="Calibri" w:eastAsia="Calibri" w:hAnsi="Calibri" w:cs="Calibri"/>
      <w:lang w:eastAsia="en-Z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0E6E26"/>
    <w:pPr>
      <w:ind w:left="720"/>
      <w:contextualSpacing/>
    </w:pPr>
    <w:rPr>
      <w:rFonts w:ascii="Calibri" w:eastAsia="Calibri" w:hAnsi="Calibri" w:cs="Calibri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0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2018-06-22T06:11:00Z</dcterms:created>
  <dcterms:modified xsi:type="dcterms:W3CDTF">2018-06-22T06:53:00Z</dcterms:modified>
</cp:coreProperties>
</file>