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52"/>
          <w:szCs w:val="52"/>
        </w:rPr>
        <w:t xml:space="preserve">Idiograph</w:t>
      </w:r>
    </w:p>
    <w:p>
      <w:r>
        <w:rPr>
          <w:rFonts w:ascii="Arial" w:cs="Arial" w:eastAsia="Arial" w:hAnsi="Arial"/>
          <w:color w:val="595959"/>
          <w:sz w:val="28"/>
          <w:szCs w:val="28"/>
        </w:rPr>
        <w:t xml:space="preserve">Session Summary: AMD-014 + AMD-010</w:t>
      </w:r>
    </w:p>
    <w:p>
      <w:r>
        <w:rPr>
          <w:rFonts w:ascii="Arial" w:cs="Arial" w:eastAsia="Arial" w:hAnsi="Arial"/>
          <w:i/>
          <w:iCs/>
          <w:color w:val="595959"/>
          <w:sz w:val="24"/>
          <w:szCs w:val="24"/>
        </w:rPr>
        <w:t xml:space="preserve">Pre-Phase 8 Sequence Complete</w:t>
      </w:r>
    </w:p>
    <w:p>
      <w:r>
        <w:t xml:space="preserve"/>
      </w:r>
    </w:p>
    <w:p>
      <w:pPr>
        <w:pStyle w:val="Heading1"/>
      </w:pPr>
      <w:r>
        <w:rPr>
          <w:rFonts w:ascii="Arial" w:cs="Arial" w:eastAsia="Arial" w:hAnsi="Arial"/>
          <w:b/>
          <w:bCs/>
          <w:sz w:val="32"/>
          <w:szCs w:val="32"/>
        </w:rPr>
        <w:t xml:space="preserve">Overview</w:t>
      </w:r>
    </w:p>
    <w:p>
      <w:r>
        <w:rPr>
          <w:rFonts w:ascii="Arial" w:cs="Arial" w:eastAsia="Arial" w:hAnsi="Arial"/>
          <w:sz w:val="24"/>
          <w:szCs w:val="24"/>
        </w:rPr>
        <w:t xml:space="preserve">This session completed the final two items in the AMD-015 pre-Phase 8 sequence: AMD-014 (optional port fields on Node, Edge, and Graph) and AMD-010 (mock execution mode for dependency-free demo). All 44 tests pass. Phase 8 is unblocked.</w:t>
      </w:r>
    </w:p>
    <w:p>
      <w:r>
        <w:t xml:space="preserve"/>
      </w:r>
    </w:p>
    <w:p>
      <w:pPr>
        <w:pStyle w:val="Heading1"/>
      </w:pPr>
      <w:r>
        <w:rPr>
          <w:rFonts w:ascii="Arial" w:cs="Arial" w:eastAsia="Arial" w:hAnsi="Arial"/>
          <w:b/>
          <w:bCs/>
          <w:sz w:val="32"/>
          <w:szCs w:val="32"/>
        </w:rPr>
        <w:t xml:space="preserve">AMD-015 Sequence Status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8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Order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Amendment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AMD-011 — Domain-first directory restructure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AMD-014 — Optional port fields (Node, Edge, Graph schemas)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AMD-010 — Mock flag, .env.example, README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bl>
    <w:p>
      <w:r>
        <w:t xml:space="preserve"/>
      </w:r>
    </w:p>
    <w:p>
      <w:r>
        <w:rPr>
          <w:rFonts w:ascii="Arial" w:cs="Arial" w:eastAsia="Arial" w:hAnsi="Arial"/>
          <w:sz w:val="24"/>
          <w:szCs w:val="24"/>
        </w:rPr>
        <w:t xml:space="preserve">Phase 8 — MCP integration via stdio transport — begins next session.</w:t>
      </w:r>
    </w:p>
    <w:p>
      <w:r>
        <w:t xml:space="preserve"/>
      </w:r>
    </w:p>
    <w:p>
      <w:pPr>
        <w:pStyle w:val="Heading1"/>
      </w:pPr>
      <w:r>
        <w:rPr>
          <w:rFonts w:ascii="Arial" w:cs="Arial" w:eastAsia="Arial" w:hAnsi="Arial"/>
          <w:b/>
          <w:bCs/>
          <w:sz w:val="32"/>
          <w:szCs w:val="32"/>
        </w:rPr>
        <w:t xml:space="preserve">AMD-014: Port Typing and Type Registry</w:t>
      </w:r>
    </w:p>
    <w:p>
      <w:pPr>
        <w:pStyle w:val="Heading2"/>
      </w:pPr>
      <w:r>
        <w:rPr>
          <w:rFonts w:ascii="Arial" w:cs="Arial" w:eastAsia="Arial" w:hAnsi="Arial"/>
          <w:b/>
          <w:bCs/>
          <w:sz w:val="28"/>
          <w:szCs w:val="28"/>
        </w:rPr>
        <w:t xml:space="preserve">What Was Built</w:t>
      </w:r>
    </w:p>
    <w:p>
      <w:r>
        <w:rPr>
          <w:rFonts w:ascii="Arial" w:cs="Arial" w:eastAsia="Arial" w:hAnsi="Arial"/>
          <w:sz w:val="24"/>
          <w:szCs w:val="24"/>
        </w:rPr>
        <w:t xml:space="preserve">Two new Pydantic models and three new optional fields added to the core schema. All additions are non-breaking — existing tests are unaffected.</w:t>
      </w:r>
    </w:p>
    <w:p>
      <w:r>
        <w:t xml:space="preserve"/>
      </w:r>
    </w:p>
    <w:p>
      <w:r>
        <w:rPr>
          <w:rFonts w:ascii="Arial" w:cs="Arial" w:eastAsia="Arial" w:hAnsi="Arial"/>
          <w:sz w:val="24"/>
          <w:szCs w:val="24"/>
        </w:rPr>
        <w:t xml:space="preserve">New models:</w:t>
      </w:r>
    </w:p>
    <w:p>
      <w:pPr>
        <w:pStyle w:val="ListParagraph"/>
        <w:numPr>
          <w:ilvl w:val="0"/>
          <w:numId w:val="2"/>
        </w:numPr>
      </w:pPr>
      <w:r>
        <w:rPr>
          <w:rFonts w:ascii="Arial" w:cs="Arial" w:eastAsia="Arial" w:hAnsi="Arial"/>
          <w:sz w:val="24"/>
          <w:szCs w:val="24"/>
        </w:rPr>
        <w:t xml:space="preserve">PortType — a registry entry defining a named type: label and description. Keys are type identifier strings.</w:t>
      </w:r>
    </w:p>
    <w:p>
      <w:pPr>
        <w:pStyle w:val="ListParagraph"/>
        <w:numPr>
          <w:ilvl w:val="0"/>
          <w:numId w:val="2"/>
        </w:numPr>
      </w:pPr>
      <w:r>
        <w:rPr>
          <w:rFonts w:ascii="Arial" w:cs="Arial" w:eastAsia="Arial" w:hAnsi="Arial"/>
          <w:sz w:val="24"/>
          <w:szCs w:val="24"/>
        </w:rPr>
        <w:t xml:space="preserve">PortDeclaration — a named port slot on a node: name and port_type (a string reference into the type registry).</w:t>
      </w:r>
    </w:p>
    <w:p>
      <w:r>
        <w:t xml:space="preserve"/>
      </w:r>
    </w:p>
    <w:p>
      <w:r>
        <w:rPr>
          <w:rFonts w:ascii="Arial" w:cs="Arial" w:eastAsia="Arial" w:hAnsi="Arial"/>
          <w:sz w:val="24"/>
          <w:szCs w:val="24"/>
        </w:rPr>
        <w:t xml:space="preserve">New fields:</w:t>
      </w:r>
    </w:p>
    <w:p>
      <w:pPr>
        <w:pStyle w:val="ListParagraph"/>
        <w:numPr>
          <w:ilvl w:val="0"/>
          <w:numId w:val="2"/>
        </w:numPr>
      </w:pPr>
      <w:r>
        <w:rPr>
          <w:rFonts w:ascii="Arial" w:cs="Arial" w:eastAsia="Arial" w:hAnsi="Arial"/>
          <w:sz w:val="24"/>
          <w:szCs w:val="24"/>
        </w:rPr>
        <w:t xml:space="preserve">Node.input_ports: list[PortDeclaration] | None — declared input ports. None means ports are not yet typed.</w:t>
      </w:r>
    </w:p>
    <w:p>
      <w:pPr>
        <w:pStyle w:val="ListParagraph"/>
        <w:numPr>
          <w:ilvl w:val="0"/>
          <w:numId w:val="2"/>
        </w:numPr>
      </w:pPr>
      <w:r>
        <w:rPr>
          <w:rFonts w:ascii="Arial" w:cs="Arial" w:eastAsia="Arial" w:hAnsi="Arial"/>
          <w:sz w:val="24"/>
          <w:szCs w:val="24"/>
        </w:rPr>
        <w:t xml:space="preserve">Node.output_ports: list[PortDeclaration] | None — declared output ports.</w:t>
      </w:r>
    </w:p>
    <w:p>
      <w:pPr>
        <w:pStyle w:val="ListParagraph"/>
        <w:numPr>
          <w:ilvl w:val="0"/>
          <w:numId w:val="2"/>
        </w:numPr>
      </w:pPr>
      <w:r>
        <w:rPr>
          <w:rFonts w:ascii="Arial" w:cs="Arial" w:eastAsia="Arial" w:hAnsi="Arial"/>
          <w:sz w:val="24"/>
          <w:szCs w:val="24"/>
        </w:rPr>
        <w:t xml:space="preserve">Edge.from_port: str | None — named output port this edge originates from.</w:t>
      </w:r>
    </w:p>
    <w:p>
      <w:pPr>
        <w:pStyle w:val="ListParagraph"/>
        <w:numPr>
          <w:ilvl w:val="0"/>
          <w:numId w:val="2"/>
        </w:numPr>
      </w:pPr>
      <w:r>
        <w:rPr>
          <w:rFonts w:ascii="Arial" w:cs="Arial" w:eastAsia="Arial" w:hAnsi="Arial"/>
          <w:sz w:val="24"/>
          <w:szCs w:val="24"/>
        </w:rPr>
        <w:t xml:space="preserve">Edge.to_port: str | None — named input port this edge connects to.</w:t>
      </w:r>
    </w:p>
    <w:p>
      <w:pPr>
        <w:pStyle w:val="ListParagraph"/>
        <w:numPr>
          <w:ilvl w:val="0"/>
          <w:numId w:val="2"/>
        </w:numPr>
      </w:pPr>
      <w:r>
        <w:rPr>
          <w:rFonts w:ascii="Arial" w:cs="Arial" w:eastAsia="Arial" w:hAnsi="Arial"/>
          <w:sz w:val="24"/>
          <w:szCs w:val="24"/>
        </w:rPr>
        <w:t xml:space="preserve">Graph.type_registry: dict[str, PortType] | None — type definitions available to port declarations in this graph.</w:t>
      </w:r>
    </w:p>
    <w:p>
      <w:r>
        <w:t xml:space="preserve"/>
      </w:r>
    </w:p>
    <w:p>
      <w:pPr>
        <w:pStyle w:val="Heading2"/>
      </w:pPr>
      <w:r>
        <w:rPr>
          <w:rFonts w:ascii="Arial" w:cs="Arial" w:eastAsia="Arial" w:hAnsi="Arial"/>
          <w:b/>
          <w:bCs/>
          <w:sz w:val="28"/>
          <w:szCs w:val="28"/>
        </w:rPr>
        <w:t xml:space="preserve">Key Decisions</w:t>
      </w:r>
    </w:p>
    <w:p>
      <w:pPr>
        <w:pStyle w:val="ListParagraph"/>
        <w:numPr>
          <w:ilvl w:val="0"/>
          <w:numId w:val="2"/>
        </w:numPr>
      </w:pPr>
      <w:r>
        <w:rPr>
          <w:rFonts w:ascii="Arial" w:cs="Arial" w:eastAsia="Arial" w:hAnsi="Arial"/>
          <w:sz w:val="24"/>
          <w:szCs w:val="24"/>
        </w:rPr>
        <w:t xml:space="preserve">Houdini/Katana port model selected as the correct reference architecture. Nodes declare typed named slots; edges connect named ports on source and target nodes. This is the production-proven model at scale.</w:t>
      </w:r>
    </w:p>
    <w:p>
      <w:pPr>
        <w:pStyle w:val="ListParagraph"/>
        <w:numPr>
          <w:ilvl w:val="0"/>
          <w:numId w:val="2"/>
        </w:numPr>
      </w:pPr>
      <w:r>
        <w:rPr>
          <w:rFonts w:ascii="Arial" w:cs="Arial" w:eastAsia="Arial" w:hAnsi="Arial"/>
          <w:sz w:val="24"/>
          <w:szCs w:val="24"/>
        </w:rPr>
        <w:t xml:space="preserve">port_type on PortDeclaration is a string reference, not a foreign key with enforcement. The type registry exists in the schema; referential integrity validation is post-Phase 8. The honest state is declared, not enforced yet.</w:t>
      </w:r>
    </w:p>
    <w:p>
      <w:pPr>
        <w:pStyle w:val="ListParagraph"/>
        <w:numPr>
          <w:ilvl w:val="0"/>
          <w:numId w:val="2"/>
        </w:numPr>
      </w:pPr>
      <w:r>
        <w:rPr>
          <w:rFonts w:ascii="Arial" w:cs="Arial" w:eastAsia="Arial" w:hAnsi="Arial"/>
          <w:sz w:val="24"/>
          <w:szCs w:val="24"/>
        </w:rPr>
        <w:t xml:space="preserve">None vs empty list is semantically distinct. None means ports are not typed. An empty list means the node explicitly accepts no inputs or produces no outputs. This distinction is documented in field descriptions.</w:t>
      </w:r>
    </w:p>
    <w:p>
      <w:pPr>
        <w:pStyle w:val="ListParagraph"/>
        <w:numPr>
          <w:ilvl w:val="0"/>
          <w:numId w:val="2"/>
        </w:numPr>
      </w:pPr>
      <w:r>
        <w:rPr>
          <w:rFonts w:ascii="Arial" w:cs="Arial" w:eastAsia="Arial" w:hAnsi="Arial"/>
          <w:sz w:val="24"/>
          <w:szCs w:val="24"/>
        </w:rPr>
        <w:t xml:space="preserve">Enforcement lands in validate_integrity() post-Phase 8 — no new public API method required. The existing validation surface will be extended.</w:t>
      </w:r>
    </w:p>
    <w:p>
      <w:r>
        <w:t xml:space="preserve"/>
      </w:r>
    </w:p>
    <w:p>
      <w:pPr>
        <w:pStyle w:val="Heading2"/>
      </w:pPr>
      <w:r>
        <w:rPr>
          <w:rFonts w:ascii="Arial" w:cs="Arial" w:eastAsia="Arial" w:hAnsi="Arial"/>
          <w:b/>
          <w:bCs/>
          <w:sz w:val="28"/>
          <w:szCs w:val="28"/>
        </w:rPr>
        <w:t xml:space="preserve">Thesis Connection</w:t>
      </w:r>
    </w:p>
    <w:p>
      <w:r>
        <w:rPr>
          <w:rFonts w:ascii="Arial" w:cs="Arial" w:eastAsia="Arial" w:hAnsi="Arial"/>
          <w:sz w:val="24"/>
          <w:szCs w:val="24"/>
        </w:rPr>
        <w:t xml:space="preserve">The credibility argument for typed ports is empirical: at Rhythm and Hues, average Houdini scenes contained 250,000 nodes. At that scale, implicit data contracts are not a maintenance inconvenience. A type mismatch at node 180,000 is undebuggable without declared port contracts. The schema now carries the answer to that reviewer question. Full enforcement is post-Phase 8 but the design is present now, which is what matters for architectural review.</w:t>
      </w:r>
    </w:p>
    <w:p>
      <w:r>
        <w:t xml:space="preserve"/>
      </w:r>
    </w:p>
    <w:p>
      <w:pPr>
        <w:pStyle w:val="Heading2"/>
      </w:pPr>
      <w:r>
        <w:rPr>
          <w:rFonts w:ascii="Arial" w:cs="Arial" w:eastAsia="Arial" w:hAnsi="Arial"/>
          <w:b/>
          <w:bCs/>
          <w:sz w:val="28"/>
          <w:szCs w:val="28"/>
        </w:rPr>
        <w:t xml:space="preserve">Gate</w:t>
      </w:r>
    </w:p>
    <w:p>
      <w:r>
        <w:rPr>
          <w:rFonts w:ascii="Arial" w:cs="Arial" w:eastAsia="Arial" w:hAnsi="Arial"/>
          <w:sz w:val="24"/>
          <w:szCs w:val="24"/>
        </w:rPr>
        <w:t xml:space="preserve">44 tests passed unchanged. No existing behavior affected.</w:t>
      </w:r>
    </w:p>
    <w:p>
      <w:r>
        <w:t xml:space="preserve"/>
      </w:r>
    </w:p>
    <w:p>
      <w:pPr>
        <w:pStyle w:val="Heading1"/>
      </w:pPr>
      <w:r>
        <w:rPr>
          <w:rFonts w:ascii="Arial" w:cs="Arial" w:eastAsia="Arial" w:hAnsi="Arial"/>
          <w:b/>
          <w:bCs/>
          <w:sz w:val="32"/>
          <w:szCs w:val="32"/>
        </w:rPr>
        <w:t xml:space="preserve">AMD-010: Mock Execution Mode</w:t>
      </w:r>
    </w:p>
    <w:p>
      <w:pPr>
        <w:pStyle w:val="Heading2"/>
      </w:pPr>
      <w:r>
        <w:rPr>
          <w:rFonts w:ascii="Arial" w:cs="Arial" w:eastAsia="Arial" w:hAnsi="Arial"/>
          <w:b/>
          <w:bCs/>
          <w:sz w:val="28"/>
          <w:szCs w:val="28"/>
        </w:rPr>
        <w:t xml:space="preserve">What Was Built</w:t>
      </w:r>
    </w:p>
    <w:p>
      <w:r>
        <w:rPr>
          <w:rFonts w:ascii="Arial" w:cs="Arial" w:eastAsia="Arial" w:hAnsi="Arial"/>
          <w:sz w:val="24"/>
          <w:szCs w:val="24"/>
        </w:rPr>
        <w:t xml:space="preserve">Three deliverables:</w:t>
      </w:r>
    </w:p>
    <w:p>
      <w:r>
        <w:t xml:space="preserve"/>
      </w:r>
    </w:p>
    <w:p>
      <w:pPr>
        <w:pStyle w:val="ListParagraph"/>
        <w:numPr>
          <w:ilvl w:val="0"/>
          <w:numId w:val="2"/>
        </w:numPr>
      </w:pPr>
      <w:r>
        <w:rPr>
          <w:rFonts w:ascii="Arial" w:cs="Arial" w:eastAsia="Arial" w:hAnsi="Arial"/>
          <w:sz w:val="24"/>
          <w:szCs w:val="24"/>
        </w:rPr>
        <w:t xml:space="preserve">src/idiograph/domains/arxiv/mock_handlers.py — five stub async handler functions returning plausible structured output without API calls or network access.</w:t>
      </w:r>
    </w:p>
    <w:p>
      <w:pPr>
        <w:pStyle w:val="ListParagraph"/>
        <w:numPr>
          <w:ilvl w:val="0"/>
          <w:numId w:val="2"/>
        </w:numPr>
      </w:pPr>
      <w:r>
        <w:rPr>
          <w:rFonts w:ascii="Arial" w:cs="Arial" w:eastAsia="Arial" w:hAnsi="Arial"/>
          <w:sz w:val="24"/>
          <w:szCs w:val="24"/>
        </w:rPr>
        <w:t xml:space="preserve">--mock flag on idiograph run — when set, registers mock handlers instead of real ones. The full pipeline executes: topological sort, node status progression, results dict, routing logic.</w:t>
      </w:r>
    </w:p>
    <w:p>
      <w:pPr>
        <w:pStyle w:val="ListParagraph"/>
        <w:numPr>
          <w:ilvl w:val="0"/>
          <w:numId w:val="2"/>
        </w:numPr>
      </w:pPr>
      <w:r>
        <w:rPr>
          <w:rFonts w:ascii="Arial" w:cs="Arial" w:eastAsia="Arial" w:hAnsi="Arial"/>
          <w:sz w:val="24"/>
          <w:szCs w:val="24"/>
        </w:rPr>
        <w:t xml:space="preserve">.env.example in repo root — committed template with key name but no value. Tells any evaluator exactly what credentials are required without prose documentation.</w:t>
      </w:r>
    </w:p>
    <w:p>
      <w:r>
        <w:t xml:space="preserve"/>
      </w:r>
    </w:p>
    <w:p>
      <w:pPr>
        <w:pStyle w:val="Heading2"/>
      </w:pPr>
      <w:r>
        <w:rPr>
          <w:rFonts w:ascii="Arial" w:cs="Arial" w:eastAsia="Arial" w:hAnsi="Arial"/>
          <w:b/>
          <w:bCs/>
          <w:sz w:val="28"/>
          <w:szCs w:val="28"/>
        </w:rPr>
        <w:t xml:space="preserve">Files Modified or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src/idiograph/domains/arxiv/mock_handlers.py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 five stub async handlers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src/idiograph/main.py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command updated with --mock flag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.env.example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 repo root, committed, no real secrets</w:t>
            </w:r>
          </w:p>
        </w:tc>
      </w:tr>
    </w:tbl>
    <w:p>
      <w:r>
        <w:t xml:space="preserve"/>
      </w:r>
    </w:p>
    <w:p>
      <w:pPr>
        <w:pStyle w:val="Heading2"/>
      </w:pPr>
      <w:r>
        <w:rPr>
          <w:rFonts w:ascii="Arial" w:cs="Arial" w:eastAsia="Arial" w:hAnsi="Arial"/>
          <w:b/>
          <w:bCs/>
          <w:sz w:val="28"/>
          <w:szCs w:val="28"/>
        </w:rPr>
        <w:t xml:space="preserve">Mock Handler Outputs</w:t>
      </w:r>
    </w:p>
    <w:p>
      <w:r>
        <w:rPr>
          <w:rFonts w:ascii="Arial" w:cs="Arial" w:eastAsia="Arial" w:hAnsi="Arial"/>
          <w:sz w:val="24"/>
          <w:szCs w:val="24"/>
        </w:rPr>
        <w:t xml:space="preserve">The stub handlers return content grounded in the arXiv demo paper (1706.03762, Attention Is All You Need) so the output is readable and coherent, not placeholder noise. The evaluator stub scores 0.85 against a 0.4 threshold, which routes to the summarize branch — demonstrating live routing logic without the discard path executing.</w:t>
      </w:r>
    </w:p>
    <w:p>
      <w:r>
        <w:t xml:space="preserve"/>
      </w:r>
    </w:p>
    <w:p>
      <w:pPr>
        <w:pStyle w:val="Heading2"/>
      </w:pPr>
      <w:r>
        <w:rPr>
          <w:rFonts w:ascii="Arial" w:cs="Arial" w:eastAsia="Arial" w:hAnsi="Arial"/>
          <w:b/>
          <w:bCs/>
          <w:sz w:val="28"/>
          <w:szCs w:val="28"/>
        </w:rPr>
        <w:t xml:space="preserve">Verified CLI Output</w:t>
      </w:r>
    </w:p>
    <w:p>
      <w:r>
        <w:rPr>
          <w:rFonts w:ascii="Courier New" w:cs="Courier New" w:eastAsia="Courier New" w:hAnsi="Courier New"/>
          <w:color w:val="1F497D"/>
          <w:sz w:val="20"/>
          <w:szCs w:val="20"/>
        </w:rPr>
        <w:t xml:space="preserve">uv run idiograph run 1706.03762 --mock</w:t>
      </w:r>
    </w:p>
    <w:p>
      <w:r>
        <w:t xml:space="preserve"/>
      </w:r>
    </w:p>
    <w:p>
      <w:r>
        <w:rPr>
          <w:rFonts w:ascii="Arial" w:cs="Arial" w:eastAsia="Arial" w:hAnsi="Arial"/>
          <w:sz w:val="24"/>
          <w:szCs w:val="24"/>
        </w:rPr>
        <w:t xml:space="preserve">Result: four nodes executed in topological order (fetch, claims, evaluate, summarize), all SUCCESS, full results dict produced. No API key, no network access.</w:t>
      </w:r>
    </w:p>
    <w:p>
      <w:r>
        <w:t xml:space="preserve"/>
      </w:r>
    </w:p>
    <w:p>
      <w:pPr>
        <w:pStyle w:val="Heading2"/>
      </w:pPr>
      <w:r>
        <w:rPr>
          <w:rFonts w:ascii="Arial" w:cs="Arial" w:eastAsia="Arial" w:hAnsi="Arial"/>
          <w:b/>
          <w:bCs/>
          <w:sz w:val="28"/>
          <w:szCs w:val="28"/>
        </w:rPr>
        <w:t xml:space="preserve">Key Decision</w:t>
      </w:r>
    </w:p>
    <w:p>
      <w:pPr>
        <w:pStyle w:val="ListParagraph"/>
        <w:numPr>
          <w:ilvl w:val="0"/>
          <w:numId w:val="2"/>
        </w:numPr>
      </w:pPr>
      <w:r>
        <w:rPr>
          <w:rFonts w:ascii="Arial" w:cs="Arial" w:eastAsia="Arial" w:hAnsi="Arial"/>
          <w:sz w:val="24"/>
          <w:szCs w:val="24"/>
        </w:rPr>
        <w:t xml:space="preserve">Mock handlers live in the arxiv domain module, not in core. They are domain-specific stubs, not a core abstraction. The handler registry pattern (AMD-007) is exactly the mechanism that makes this clean — the executor never imports handlers directly, so swapping real for mock at registration time requires no changes to the execution engine.</w:t>
      </w:r>
    </w:p>
    <w:p>
      <w:r>
        <w:t xml:space="preserve"/>
      </w:r>
    </w:p>
    <w:p>
      <w:pPr>
        <w:pStyle w:val="Heading2"/>
      </w:pPr>
      <w:r>
        <w:rPr>
          <w:rFonts w:ascii="Arial" w:cs="Arial" w:eastAsia="Arial" w:hAnsi="Arial"/>
          <w:b/>
          <w:bCs/>
          <w:sz w:val="28"/>
          <w:szCs w:val="28"/>
        </w:rPr>
        <w:t xml:space="preserve">Thesis Connection</w:t>
      </w:r>
    </w:p>
    <w:p>
      <w:r>
        <w:rPr>
          <w:rFonts w:ascii="Arial" w:cs="Arial" w:eastAsia="Arial" w:hAnsi="Arial"/>
          <w:sz w:val="24"/>
          <w:szCs w:val="24"/>
        </w:rPr>
        <w:t xml:space="preserve">The 44-test suite has always passed without an API key. AMD-010 extends that property to the CLI surface. The architecture is the thesis artifact. Requiring credentials to see the architecture run is a barrier that the architecture itself does not impose. The --mock flag removes that barrier without any structural compromise.</w:t>
      </w:r>
    </w:p>
    <w:p>
      <w:r>
        <w:t xml:space="preserve"/>
      </w:r>
    </w:p>
    <w:p>
      <w:pPr>
        <w:pStyle w:val="Heading2"/>
      </w:pPr>
      <w:r>
        <w:rPr>
          <w:rFonts w:ascii="Arial" w:cs="Arial" w:eastAsia="Arial" w:hAnsi="Arial"/>
          <w:b/>
          <w:bCs/>
          <w:sz w:val="28"/>
          <w:szCs w:val="28"/>
        </w:rPr>
        <w:t xml:space="preserve">Gate</w:t>
      </w:r>
    </w:p>
    <w:p>
      <w:r>
        <w:rPr>
          <w:rFonts w:ascii="Arial" w:cs="Arial" w:eastAsia="Arial" w:hAnsi="Arial"/>
          <w:sz w:val="24"/>
          <w:szCs w:val="24"/>
        </w:rPr>
        <w:t xml:space="preserve">44 tests passed. idiograph run 1706.03762 --mock executed the full pipeline and produced a complete results dict without credentials.</w:t>
      </w:r>
    </w:p>
    <w:p>
      <w:r>
        <w:t xml:space="preserve"/>
      </w:r>
    </w:p>
    <w:p>
      <w:pPr>
        <w:pStyle w:val="Heading1"/>
      </w:pPr>
      <w:r>
        <w:rPr>
          <w:rFonts w:ascii="Arial" w:cs="Arial" w:eastAsia="Arial" w:hAnsi="Arial"/>
          <w:b/>
          <w:bCs/>
          <w:sz w:val="32"/>
          <w:szCs w:val="32"/>
        </w:rPr>
        <w:t xml:space="preserve">Next: Phase 8</w:t>
      </w:r>
    </w:p>
    <w:p>
      <w:r>
        <w:rPr>
          <w:rFonts w:ascii="Arial" w:cs="Arial" w:eastAsia="Arial" w:hAnsi="Arial"/>
          <w:sz w:val="24"/>
          <w:szCs w:val="24"/>
        </w:rPr>
        <w:t xml:space="preserve">MCP integration via stdio transport. Idiograph gets exposed as a standards-compliant agent tool via the Model Context Protocol. An MCP server wraps the core tool interfaces so that any MCP-compatible agent can connect, inspect a graph, modify node parameters, and re-run execution without bespoke adapter code.</w:t>
      </w:r>
    </w:p>
    <w:p>
      <w:r>
        <w:t xml:space="preserve"/>
      </w:r>
    </w:p>
    <w:p>
      <w:r>
        <w:rPr>
          <w:rFonts w:ascii="Arial" w:cs="Arial" w:eastAsia="Arial" w:hAnsi="Arial"/>
          <w:sz w:val="24"/>
          <w:szCs w:val="24"/>
        </w:rPr>
        <w:t xml:space="preserve">Tools to expose via MCP:</w:t>
      </w:r>
    </w:p>
    <w:p>
      <w:pPr>
        <w:pStyle w:val="ListParagraph"/>
        <w:numPr>
          <w:ilvl w:val="0"/>
          <w:numId w:val="2"/>
        </w:numPr>
      </w:pPr>
      <w:r>
        <w:rPr>
          <w:rFonts w:ascii="Arial" w:cs="Arial" w:eastAsia="Arial" w:hAnsi="Arial"/>
          <w:sz w:val="24"/>
          <w:szCs w:val="24"/>
        </w:rPr>
        <w:t xml:space="preserve">get_node</w:t>
      </w:r>
    </w:p>
    <w:p>
      <w:pPr>
        <w:pStyle w:val="ListParagraph"/>
        <w:numPr>
          <w:ilvl w:val="0"/>
          <w:numId w:val="2"/>
        </w:numPr>
      </w:pPr>
      <w:r>
        <w:rPr>
          <w:rFonts w:ascii="Arial" w:cs="Arial" w:eastAsia="Arial" w:hAnsi="Arial"/>
          <w:sz w:val="24"/>
          <w:szCs w:val="24"/>
        </w:rPr>
        <w:t xml:space="preserve">get_edges_from</w:t>
      </w:r>
    </w:p>
    <w:p>
      <w:pPr>
        <w:pStyle w:val="ListParagraph"/>
        <w:numPr>
          <w:ilvl w:val="0"/>
          <w:numId w:val="2"/>
        </w:numPr>
      </w:pPr>
      <w:r>
        <w:rPr>
          <w:rFonts w:ascii="Arial" w:cs="Arial" w:eastAsia="Arial" w:hAnsi="Arial"/>
          <w:sz w:val="24"/>
          <w:szCs w:val="24"/>
        </w:rPr>
        <w:t xml:space="preserve">update_node</w:t>
      </w:r>
    </w:p>
    <w:p>
      <w:pPr>
        <w:pStyle w:val="ListParagraph"/>
        <w:numPr>
          <w:ilvl w:val="0"/>
          <w:numId w:val="2"/>
        </w:numPr>
      </w:pPr>
      <w:r>
        <w:rPr>
          <w:rFonts w:ascii="Arial" w:cs="Arial" w:eastAsia="Arial" w:hAnsi="Arial"/>
          <w:sz w:val="24"/>
          <w:szCs w:val="24"/>
        </w:rPr>
        <w:t xml:space="preserve">summarize_intent</w:t>
      </w:r>
    </w:p>
    <w:p>
      <w:pPr>
        <w:pStyle w:val="ListParagraph"/>
        <w:numPr>
          <w:ilvl w:val="0"/>
          <w:numId w:val="2"/>
        </w:numPr>
      </w:pPr>
      <w:r>
        <w:rPr>
          <w:rFonts w:ascii="Arial" w:cs="Arial" w:eastAsia="Arial" w:hAnsi="Arial"/>
          <w:sz w:val="24"/>
          <w:szCs w:val="24"/>
        </w:rPr>
        <w:t xml:space="preserve">validate_graph</w:t>
      </w:r>
    </w:p>
    <w:p>
      <w:pPr>
        <w:pStyle w:val="ListParagraph"/>
        <w:numPr>
          <w:ilvl w:val="0"/>
          <w:numId w:val="2"/>
        </w:numPr>
      </w:pPr>
      <w:r>
        <w:rPr>
          <w:rFonts w:ascii="Arial" w:cs="Arial" w:eastAsia="Arial" w:hAnsi="Arial"/>
          <w:sz w:val="24"/>
          <w:szCs w:val="24"/>
        </w:rPr>
        <w:t xml:space="preserve">execute_graph</w:t>
      </w:r>
    </w:p>
    <w:p>
      <w:r>
        <w:t xml:space="preserve"/>
      </w:r>
    </w:p>
    <w:p>
      <w:r>
        <w:rPr>
          <w:rFonts w:ascii="Arial" w:cs="Arial" w:eastAsia="Arial" w:hAnsi="Arial"/>
          <w:sz w:val="24"/>
          <w:szCs w:val="24"/>
        </w:rPr>
        <w:t xml:space="preserve">Transport: stdio (local dev). HTTP/SSE deferred pending AMD-009 forcing function evaluation.</w:t>
      </w:r>
    </w:p>
    <w:p>
      <w:r>
        <w:rPr>
          <w:rFonts w:ascii="Arial" w:cs="Arial" w:eastAsia="Arial" w:hAnsi="Arial"/>
          <w:sz w:val="24"/>
          <w:szCs w:val="24"/>
        </w:rPr>
        <w:t xml:space="preserve">This is the primary external credibility artifact: not a Claude-specific integration, but a standards-compliant AI-operable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2026-03-31T16:18:20.041Z</dcterms:created>
  <dcterms:modified xsi:type="dcterms:W3CDTF">2026-03-31T16:18:20.042Z</dcterms:modified>
</cp:coreProperties>
</file>

<file path=docProps/custom.xml><?xml version="1.0" encoding="utf-8"?>
<Properties xmlns="http://schemas.openxmlformats.org/officeDocument/2006/custom-properties" xmlns:vt="http://schemas.openxmlformats.org/officeDocument/2006/docPropsVTypes"/>
</file>