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pPr>
      <w:r>
        <w:rPr>
          <w:b/>
          <w:bCs/>
          <w:color w:val="C8102E"/>
          <w:sz w:val="24"/>
          <w:szCs w:val="24"/>
        </w:rPr>
        <w:t xml:space="preserve">PROJECT PLAN</w:t>
      </w:r>
    </w:p>
    <w:p>
      <w:pPr>
        <w:spacing w:after="100"/>
      </w:pPr>
      <w:r>
        <w:rPr>
          <w:b/>
          <w:bCs/>
          <w:color w:val="2B2B2B"/>
          <w:sz w:val="44"/>
          <w:szCs w:val="44"/>
        </w:rPr>
        <w:t xml:space="preserve">Employee Relations Case Management System</w:t>
      </w:r>
    </w:p>
    <w:p>
      <w:pPr>
        <w:spacing w:after="400"/>
      </w:pPr>
      <w:r>
        <w:rPr>
          <w:color w:val="6E6E6E"/>
          <w:sz w:val="24"/>
          <w:szCs w:val="24"/>
        </w:rPr>
        <w:t xml:space="preserve">Consolidated tracking for grievances, disciplinary cases, and union action points — Lagos &amp; outstation locations</w:t>
      </w:r>
    </w:p>
    <w:p>
      <w:pPr>
        <w:pBdr>
          <w:bottom w:val="single" w:color="CCCCCC" w:sz="6" w:space="1"/>
        </w:pBdr>
        <w:spacing w:after="200"/>
      </w:pPr>
    </w:p>
    <w:p>
      <w:pPr>
        <w:spacing w:after="140"/>
      </w:pPr>
      <w:r>
        <w:rPr>
          <w:color w:val="2B2B2B"/>
          <w:sz w:val="21"/>
          <w:szCs w:val="21"/>
        </w:rPr>
        <w:t xml:space="preserve">Prepared for: Employee Relations &amp; HR Leadership</w:t>
      </w:r>
    </w:p>
    <w:p>
      <w:pPr>
        <w:spacing w:after="140"/>
      </w:pPr>
      <w:r>
        <w:rPr>
          <w:color w:val="2B2B2B"/>
          <w:sz w:val="21"/>
          <w:szCs w:val="21"/>
        </w:rPr>
        <w:t xml:space="preserve">Prepared by: Victor Idioh</w:t>
      </w:r>
    </w:p>
    <w:p>
      <w:pPr>
        <w:spacing w:after="140"/>
      </w:pPr>
      <w:r>
        <w:rPr>
          <w:color w:val="2B2B2B"/>
          <w:sz w:val="21"/>
          <w:szCs w:val="21"/>
        </w:rPr>
        <w:t xml:space="preserve">Date: 17 August 2026</w:t>
      </w:r>
    </w:p>
    <w:p>
      <w:r>
        <w:br w:type="page"/>
      </w:r>
    </w:p>
    <w:p>
      <w:pPr>
        <w:pStyle w:val="Heading1"/>
        <w:spacing w:after="160" w:before="360"/>
      </w:pPr>
      <w:r>
        <w:t xml:space="preserve">1. Executive Summary</w:t>
      </w:r>
    </w:p>
    <w:p>
      <w:pPr>
        <w:spacing w:after="140"/>
      </w:pPr>
      <w:r>
        <w:rPr>
          <w:color w:val="2B2B2B"/>
          <w:sz w:val="21"/>
          <w:szCs w:val="21"/>
        </w:rPr>
        <w:t xml:space="preserve">Employee Relations currently manages grievances, disciplinary cases, and union action points through separate, informal records with no consolidated route, no defined timeline against the grievance procedure, and no visibility of training gaps or SLA breaches across Lagos and outstation locations. This project delivers a single case-management system that consolidates all three case types into one tracker, enforces the existing workflow stages, and generates the quarterly HR Director report automatically from the same underlying data.</w:t>
      </w:r>
    </w:p>
    <w:p>
      <w:pPr>
        <w:spacing w:after="140"/>
      </w:pPr>
      <w:r>
        <w:rPr>
          <w:color w:val="2B2B2B"/>
          <w:sz w:val="21"/>
          <w:szCs w:val="21"/>
        </w:rPr>
        <w:t xml:space="preserve">The system is scoped deliberately for the actual data volume involved (low hundreds of active cases, not high-throughput transactional data), which keeps the architecture simple, the cost low, and the reliability target achievable without over-engineering.</w:t>
      </w:r>
    </w:p>
    <w:p>
      <w:pPr>
        <w:pStyle w:val="Heading1"/>
        <w:spacing w:after="160" w:before="360"/>
      </w:pPr>
      <w:r>
        <w:t xml:space="preserve">2. Objectives</w:t>
      </w:r>
    </w:p>
    <w:p>
      <w:pPr>
        <w:pStyle w:val="ListParagraph"/>
        <w:numPr>
          <w:ilvl w:val="0"/>
          <w:numId w:val="2"/>
        </w:numPr>
        <w:spacing w:after="60"/>
      </w:pPr>
      <w:r>
        <w:rPr>
          <w:color w:val="2B2B2B"/>
          <w:sz w:val="21"/>
          <w:szCs w:val="21"/>
        </w:rPr>
        <w:t xml:space="preserve">Replace fragmented, file-based case records with one consolidated case and action tracker.</w:t>
      </w:r>
    </w:p>
    <w:p>
      <w:pPr>
        <w:pStyle w:val="ListParagraph"/>
        <w:numPr>
          <w:ilvl w:val="0"/>
          <w:numId w:val="2"/>
        </w:numPr>
        <w:spacing w:after="60"/>
      </w:pPr>
      <w:r>
        <w:rPr>
          <w:color w:val="2B2B2B"/>
          <w:sz w:val="21"/>
          <w:szCs w:val="21"/>
        </w:rPr>
        <w:t xml:space="preserve">Enforce the defined workflow stages for grievance and disciplinary procedures so no case sits untouched.</w:t>
      </w:r>
    </w:p>
    <w:p>
      <w:pPr>
        <w:pStyle w:val="ListParagraph"/>
        <w:numPr>
          <w:ilvl w:val="0"/>
          <w:numId w:val="2"/>
        </w:numPr>
        <w:spacing w:after="60"/>
      </w:pPr>
      <w:r>
        <w:rPr>
          <w:color w:val="2B2B2B"/>
          <w:sz w:val="21"/>
          <w:szCs w:val="21"/>
        </w:rPr>
        <w:t xml:space="preserve">Give the ER Manager and HR Director real-time visibility into open cases, SLA breaches, and resolution trends.</w:t>
      </w:r>
    </w:p>
    <w:p>
      <w:pPr>
        <w:pStyle w:val="ListParagraph"/>
        <w:numPr>
          <w:ilvl w:val="0"/>
          <w:numId w:val="2"/>
        </w:numPr>
        <w:spacing w:after="60"/>
      </w:pPr>
      <w:r>
        <w:rPr>
          <w:color w:val="2B2B2B"/>
          <w:sz w:val="21"/>
          <w:szCs w:val="21"/>
        </w:rPr>
        <w:t xml:space="preserve">Track union/JCC meetings, action points, and salary-review negotiation status in the same system.</w:t>
      </w:r>
    </w:p>
    <w:p>
      <w:pPr>
        <w:pStyle w:val="ListParagraph"/>
        <w:numPr>
          <w:ilvl w:val="0"/>
          <w:numId w:val="2"/>
        </w:numPr>
        <w:spacing w:after="60"/>
      </w:pPr>
      <w:r>
        <w:rPr>
          <w:color w:val="2B2B2B"/>
          <w:sz w:val="21"/>
          <w:szCs w:val="21"/>
        </w:rPr>
        <w:t xml:space="preserve">Surface training completion gaps by manager and location.</w:t>
      </w:r>
    </w:p>
    <w:p>
      <w:pPr>
        <w:pStyle w:val="ListParagraph"/>
        <w:numPr>
          <w:ilvl w:val="0"/>
          <w:numId w:val="2"/>
        </w:numPr>
        <w:spacing w:after="60"/>
      </w:pPr>
      <w:r>
        <w:rPr>
          <w:color w:val="2B2B2B"/>
          <w:sz w:val="21"/>
          <w:szCs w:val="21"/>
        </w:rPr>
        <w:t xml:space="preserve">Auto-generate the quarterly report the ER Manager already owes the HR Director.</w:t>
      </w:r>
    </w:p>
    <w:p>
      <w:pPr>
        <w:pStyle w:val="ListParagraph"/>
        <w:numPr>
          <w:ilvl w:val="0"/>
          <w:numId w:val="2"/>
        </w:numPr>
        <w:spacing w:after="60"/>
      </w:pPr>
      <w:r>
        <w:rPr>
          <w:color w:val="2B2B2B"/>
          <w:sz w:val="21"/>
          <w:szCs w:val="21"/>
        </w:rPr>
        <w:t xml:space="preserve">Ensure consistency of process across Lagos and outstation locations.</w:t>
      </w:r>
    </w:p>
    <w:p>
      <w:pPr>
        <w:pStyle w:val="ListParagraph"/>
        <w:numPr>
          <w:ilvl w:val="0"/>
          <w:numId w:val="2"/>
        </w:numPr>
        <w:spacing w:after="60"/>
      </w:pPr>
      <w:r>
        <w:rPr>
          <w:color w:val="2B2B2B"/>
          <w:sz w:val="21"/>
          <w:szCs w:val="21"/>
        </w:rPr>
        <w:t xml:space="preserve">Deliver a system that is reliably available, with defined recovery targets, without unnecessary infrastructure cost.</w:t>
      </w:r>
    </w:p>
    <w:p>
      <w:pPr>
        <w:pStyle w:val="Heading1"/>
        <w:spacing w:after="160" w:before="360"/>
      </w:pPr>
      <w:r>
        <w:t xml:space="preserve">3. Phased Delivery Approach</w:t>
      </w:r>
    </w:p>
    <w:p>
      <w:pPr>
        <w:spacing w:after="140"/>
      </w:pPr>
      <w:r>
        <w:rPr>
          <w:color w:val="2B2B2B"/>
          <w:sz w:val="21"/>
          <w:szCs w:val="21"/>
        </w:rPr>
        <w:t xml:space="preserve">Delivery is phased so ER staff get a usable tool within weeks, with each phase adding a working, adoptable increment rather than a throwaway prototype.</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600"/>
        <w:gridCol w:w="2260"/>
      </w:tblGrid>
      <w:tr>
        <w:trPr>
          <w:tblHeader/>
        </w:trPr>
        <w:tc>
          <w:tcPr>
            <w:tcW w:type="dxa" w:w="2400"/>
            <w:shd w:fill="C8102E" w:val="clear"/>
            <w:tcMar>
              <w:top w:type="dxa" w:w="100"/>
              <w:left w:type="dxa" w:w="120"/>
              <w:bottom w:type="dxa" w:w="100"/>
              <w:right w:type="dxa" w:w="120"/>
            </w:tcMar>
          </w:tcPr>
          <w:p>
            <w:r>
              <w:rPr>
                <w:b/>
                <w:bCs/>
                <w:color w:val="FFFFFF"/>
                <w:sz w:val="20"/>
                <w:szCs w:val="20"/>
              </w:rPr>
              <w:t xml:space="preserve">Phase</w:t>
            </w:r>
          </w:p>
        </w:tc>
        <w:tc>
          <w:tcPr>
            <w:tcW w:type="dxa" w:w="4200"/>
            <w:shd w:fill="C8102E" w:val="clear"/>
            <w:tcMar>
              <w:top w:type="dxa" w:w="100"/>
              <w:left w:type="dxa" w:w="120"/>
              <w:bottom w:type="dxa" w:w="100"/>
              <w:right w:type="dxa" w:w="120"/>
            </w:tcMar>
          </w:tcPr>
          <w:p>
            <w:r>
              <w:rPr>
                <w:b/>
                <w:bCs/>
                <w:color w:val="FFFFFF"/>
                <w:sz w:val="20"/>
                <w:szCs w:val="20"/>
              </w:rPr>
              <w:t xml:space="preserve">Scope</w:t>
            </w:r>
          </w:p>
        </w:tc>
        <w:tc>
          <w:tcPr>
            <w:tcW w:type="dxa" w:w="1600"/>
            <w:shd w:fill="C8102E" w:val="clear"/>
            <w:tcMar>
              <w:top w:type="dxa" w:w="100"/>
              <w:left w:type="dxa" w:w="120"/>
              <w:bottom w:type="dxa" w:w="100"/>
              <w:right w:type="dxa" w:w="120"/>
            </w:tcMar>
          </w:tcPr>
          <w:p>
            <w:r>
              <w:rPr>
                <w:b/>
                <w:bCs/>
                <w:color w:val="FFFFFF"/>
                <w:sz w:val="20"/>
                <w:szCs w:val="20"/>
              </w:rPr>
              <w:t xml:space="preserve">Duration</w:t>
            </w:r>
          </w:p>
        </w:tc>
        <w:tc>
          <w:tcPr>
            <w:tcW w:type="dxa" w:w="2260"/>
            <w:shd w:fill="C8102E" w:val="clear"/>
            <w:tcMar>
              <w:top w:type="dxa" w:w="100"/>
              <w:left w:type="dxa" w:w="120"/>
              <w:bottom w:type="dxa" w:w="100"/>
              <w:right w:type="dxa" w:w="120"/>
            </w:tcMar>
          </w:tcPr>
          <w:p>
            <w:r>
              <w:rPr>
                <w:b/>
                <w:bCs/>
                <w:color w:val="FFFFFF"/>
                <w:sz w:val="20"/>
                <w:szCs w:val="20"/>
              </w:rPr>
              <w:t xml:space="preserve">Outcome</w:t>
            </w:r>
          </w:p>
        </w:tc>
      </w:tr>
      <w:tr>
        <w:tc>
          <w:tcPr>
            <w:tcW w:type="dxa" w:w="2400"/>
            <w:tcMar>
              <w:top w:type="dxa" w:w="100"/>
              <w:left w:type="dxa" w:w="120"/>
              <w:bottom w:type="dxa" w:w="100"/>
              <w:right w:type="dxa" w:w="120"/>
            </w:tcMar>
          </w:tcPr>
          <w:p>
            <w:r>
              <w:rPr>
                <w:color w:val="2B2B2B"/>
                <w:sz w:val="20"/>
                <w:szCs w:val="20"/>
              </w:rPr>
              <w:t xml:space="preserve">0 — Discovery &amp; Sign-off</w:t>
            </w:r>
          </w:p>
        </w:tc>
        <w:tc>
          <w:tcPr>
            <w:tcW w:type="dxa" w:w="4200"/>
            <w:tcMar>
              <w:top w:type="dxa" w:w="100"/>
              <w:left w:type="dxa" w:w="120"/>
              <w:bottom w:type="dxa" w:w="100"/>
              <w:right w:type="dxa" w:w="120"/>
            </w:tcMar>
          </w:tcPr>
          <w:p>
            <w:r>
              <w:rPr>
                <w:color w:val="2B2B2B"/>
                <w:sz w:val="20"/>
                <w:szCs w:val="20"/>
              </w:rPr>
              <w:t xml:space="preserve">Lock SLA definitions, workflow stages, roles, and approval owners with ER/HR stakeholders</w:t>
            </w:r>
          </w:p>
        </w:tc>
        <w:tc>
          <w:tcPr>
            <w:tcW w:type="dxa" w:w="1600"/>
            <w:tcMar>
              <w:top w:type="dxa" w:w="100"/>
              <w:left w:type="dxa" w:w="120"/>
              <w:bottom w:type="dxa" w:w="100"/>
              <w:right w:type="dxa" w:w="120"/>
            </w:tcMar>
          </w:tcPr>
          <w:p>
            <w:r>
              <w:rPr>
                <w:color w:val="2B2B2B"/>
                <w:sz w:val="20"/>
                <w:szCs w:val="20"/>
              </w:rPr>
              <w:t xml:space="preserve">1–2 weeks</w:t>
            </w:r>
          </w:p>
        </w:tc>
        <w:tc>
          <w:tcPr>
            <w:tcW w:type="dxa" w:w="2260"/>
            <w:tcMar>
              <w:top w:type="dxa" w:w="100"/>
              <w:left w:type="dxa" w:w="120"/>
              <w:bottom w:type="dxa" w:w="100"/>
              <w:right w:type="dxa" w:w="120"/>
            </w:tcMar>
          </w:tcPr>
          <w:p>
            <w:r>
              <w:rPr>
                <w:color w:val="2B2B2B"/>
                <w:sz w:val="20"/>
                <w:szCs w:val="20"/>
              </w:rPr>
              <w:t xml:space="preserve">Signed-off requirements baseline</w:t>
            </w:r>
          </w:p>
        </w:tc>
      </w:tr>
      <w:tr>
        <w:tc>
          <w:tcPr>
            <w:tcW w:type="dxa" w:w="2400"/>
            <w:tcMar>
              <w:top w:type="dxa" w:w="100"/>
              <w:left w:type="dxa" w:w="120"/>
              <w:bottom w:type="dxa" w:w="100"/>
              <w:right w:type="dxa" w:w="120"/>
            </w:tcMar>
          </w:tcPr>
          <w:p>
            <w:r>
              <w:rPr>
                <w:color w:val="2B2B2B"/>
                <w:sz w:val="20"/>
                <w:szCs w:val="20"/>
              </w:rPr>
              <w:t xml:space="preserve">1 — Core Case Tracker (MVP)</w:t>
            </w:r>
          </w:p>
        </w:tc>
        <w:tc>
          <w:tcPr>
            <w:tcW w:type="dxa" w:w="4200"/>
            <w:tcMar>
              <w:top w:type="dxa" w:w="100"/>
              <w:left w:type="dxa" w:w="120"/>
              <w:bottom w:type="dxa" w:w="100"/>
              <w:right w:type="dxa" w:w="120"/>
            </w:tcMar>
          </w:tcPr>
          <w:p>
            <w:r>
              <w:rPr>
                <w:color w:val="2B2B2B"/>
                <w:sz w:val="20"/>
                <w:szCs w:val="20"/>
              </w:rPr>
              <w:t xml:space="preserve">Cases table, stage tracker, top-line dashboard cards, location/department filter</w:t>
            </w:r>
          </w:p>
        </w:tc>
        <w:tc>
          <w:tcPr>
            <w:tcW w:type="dxa" w:w="1600"/>
            <w:tcMar>
              <w:top w:type="dxa" w:w="100"/>
              <w:left w:type="dxa" w:w="120"/>
              <w:bottom w:type="dxa" w:w="100"/>
              <w:right w:type="dxa" w:w="120"/>
            </w:tcMar>
          </w:tcPr>
          <w:p>
            <w:r>
              <w:rPr>
                <w:color w:val="2B2B2B"/>
                <w:sz w:val="20"/>
                <w:szCs w:val="20"/>
              </w:rPr>
              <w:t xml:space="preserve">3–4 weeks</w:t>
            </w:r>
          </w:p>
        </w:tc>
        <w:tc>
          <w:tcPr>
            <w:tcW w:type="dxa" w:w="2260"/>
            <w:tcMar>
              <w:top w:type="dxa" w:w="100"/>
              <w:left w:type="dxa" w:w="120"/>
              <w:bottom w:type="dxa" w:w="100"/>
              <w:right w:type="dxa" w:w="120"/>
            </w:tcMar>
          </w:tcPr>
          <w:p>
            <w:r>
              <w:rPr>
                <w:color w:val="2B2B2B"/>
                <w:sz w:val="20"/>
                <w:szCs w:val="20"/>
              </w:rPr>
              <w:t xml:space="preserve">Usable consolidated tracker replacing separate files</w:t>
            </w:r>
          </w:p>
        </w:tc>
      </w:tr>
      <w:tr>
        <w:tc>
          <w:tcPr>
            <w:tcW w:type="dxa" w:w="2400"/>
            <w:tcMar>
              <w:top w:type="dxa" w:w="100"/>
              <w:left w:type="dxa" w:w="120"/>
              <w:bottom w:type="dxa" w:w="100"/>
              <w:right w:type="dxa" w:w="120"/>
            </w:tcMar>
          </w:tcPr>
          <w:p>
            <w:r>
              <w:rPr>
                <w:color w:val="2B2B2B"/>
                <w:sz w:val="20"/>
                <w:szCs w:val="20"/>
              </w:rPr>
              <w:t xml:space="preserve">2 — Workflow-Specific Trackers</w:t>
            </w:r>
          </w:p>
        </w:tc>
        <w:tc>
          <w:tcPr>
            <w:tcW w:type="dxa" w:w="4200"/>
            <w:tcMar>
              <w:top w:type="dxa" w:w="100"/>
              <w:left w:type="dxa" w:w="120"/>
              <w:bottom w:type="dxa" w:w="100"/>
              <w:right w:type="dxa" w:w="120"/>
            </w:tcMar>
          </w:tcPr>
          <w:p>
            <w:r>
              <w:rPr>
                <w:color w:val="2B2B2B"/>
                <w:sz w:val="20"/>
                <w:szCs w:val="20"/>
              </w:rPr>
              <w:t xml:space="preserve">Grievance and disciplinary stage views (kanban/progress bar), redundancy/retirement flags</w:t>
            </w:r>
          </w:p>
        </w:tc>
        <w:tc>
          <w:tcPr>
            <w:tcW w:type="dxa" w:w="1600"/>
            <w:tcMar>
              <w:top w:type="dxa" w:w="100"/>
              <w:left w:type="dxa" w:w="120"/>
              <w:bottom w:type="dxa" w:w="100"/>
              <w:right w:type="dxa" w:w="120"/>
            </w:tcMar>
          </w:tcPr>
          <w:p>
            <w:r>
              <w:rPr>
                <w:color w:val="2B2B2B"/>
                <w:sz w:val="20"/>
                <w:szCs w:val="20"/>
              </w:rPr>
              <w:t xml:space="preserve">2–3 weeks</w:t>
            </w:r>
          </w:p>
        </w:tc>
        <w:tc>
          <w:tcPr>
            <w:tcW w:type="dxa" w:w="2260"/>
            <w:tcMar>
              <w:top w:type="dxa" w:w="100"/>
              <w:left w:type="dxa" w:w="120"/>
              <w:bottom w:type="dxa" w:w="100"/>
              <w:right w:type="dxa" w:w="120"/>
            </w:tcMar>
          </w:tcPr>
          <w:p>
            <w:r>
              <w:rPr>
                <w:color w:val="2B2B2B"/>
                <w:sz w:val="20"/>
                <w:szCs w:val="20"/>
              </w:rPr>
              <w:t xml:space="preserve">Procedure-mapped case visibility</w:t>
            </w:r>
          </w:p>
        </w:tc>
      </w:tr>
      <w:tr>
        <w:tc>
          <w:tcPr>
            <w:tcW w:type="dxa" w:w="2400"/>
            <w:tcMar>
              <w:top w:type="dxa" w:w="100"/>
              <w:left w:type="dxa" w:w="120"/>
              <w:bottom w:type="dxa" w:w="100"/>
              <w:right w:type="dxa" w:w="120"/>
            </w:tcMar>
          </w:tcPr>
          <w:p>
            <w:r>
              <w:rPr>
                <w:color w:val="2B2B2B"/>
                <w:sz w:val="20"/>
                <w:szCs w:val="20"/>
              </w:rPr>
              <w:t xml:space="preserve">3 — Union/JCC &amp; Training</w:t>
            </w:r>
          </w:p>
        </w:tc>
        <w:tc>
          <w:tcPr>
            <w:tcW w:type="dxa" w:w="4200"/>
            <w:tcMar>
              <w:top w:type="dxa" w:w="100"/>
              <w:left w:type="dxa" w:w="120"/>
              <w:bottom w:type="dxa" w:w="100"/>
              <w:right w:type="dxa" w:w="120"/>
            </w:tcMar>
          </w:tcPr>
          <w:p>
            <w:r>
              <w:rPr>
                <w:color w:val="2B2B2B"/>
                <w:sz w:val="20"/>
                <w:szCs w:val="20"/>
              </w:rPr>
              <w:t xml:space="preserve">Meeting and action-point tracking, salary-review status, training completion tracker</w:t>
            </w:r>
          </w:p>
        </w:tc>
        <w:tc>
          <w:tcPr>
            <w:tcW w:type="dxa" w:w="1600"/>
            <w:tcMar>
              <w:top w:type="dxa" w:w="100"/>
              <w:left w:type="dxa" w:w="120"/>
              <w:bottom w:type="dxa" w:w="100"/>
              <w:right w:type="dxa" w:w="120"/>
            </w:tcMar>
          </w:tcPr>
          <w:p>
            <w:r>
              <w:rPr>
                <w:color w:val="2B2B2B"/>
                <w:sz w:val="20"/>
                <w:szCs w:val="20"/>
              </w:rPr>
              <w:t xml:space="preserve">2–3 weeks</w:t>
            </w:r>
          </w:p>
        </w:tc>
        <w:tc>
          <w:tcPr>
            <w:tcW w:type="dxa" w:w="2260"/>
            <w:tcMar>
              <w:top w:type="dxa" w:w="100"/>
              <w:left w:type="dxa" w:w="120"/>
              <w:bottom w:type="dxa" w:w="100"/>
              <w:right w:type="dxa" w:w="120"/>
            </w:tcMar>
          </w:tcPr>
          <w:p>
            <w:r>
              <w:rPr>
                <w:color w:val="2B2B2B"/>
                <w:sz w:val="20"/>
                <w:szCs w:val="20"/>
              </w:rPr>
              <w:t xml:space="preserve">Full case-type coverage</w:t>
            </w:r>
          </w:p>
        </w:tc>
      </w:tr>
      <w:tr>
        <w:tc>
          <w:tcPr>
            <w:tcW w:type="dxa" w:w="2400"/>
            <w:tcMar>
              <w:top w:type="dxa" w:w="100"/>
              <w:left w:type="dxa" w:w="120"/>
              <w:bottom w:type="dxa" w:w="100"/>
              <w:right w:type="dxa" w:w="120"/>
            </w:tcMar>
          </w:tcPr>
          <w:p>
            <w:r>
              <w:rPr>
                <w:color w:val="2B2B2B"/>
                <w:sz w:val="20"/>
                <w:szCs w:val="20"/>
              </w:rPr>
              <w:t xml:space="preserve">4 — Reporting &amp; Alerts</w:t>
            </w:r>
          </w:p>
        </w:tc>
        <w:tc>
          <w:tcPr>
            <w:tcW w:type="dxa" w:w="4200"/>
            <w:tcMar>
              <w:top w:type="dxa" w:w="100"/>
              <w:left w:type="dxa" w:w="120"/>
              <w:bottom w:type="dxa" w:w="100"/>
              <w:right w:type="dxa" w:w="120"/>
            </w:tcMar>
          </w:tcPr>
          <w:p>
            <w:r>
              <w:rPr>
                <w:color w:val="2B2B2B"/>
                <w:sz w:val="20"/>
                <w:szCs w:val="20"/>
              </w:rPr>
              <w:t xml:space="preserve">Quarterly auto-report, SLA/deadline/training alert job</w:t>
            </w:r>
          </w:p>
        </w:tc>
        <w:tc>
          <w:tcPr>
            <w:tcW w:type="dxa" w:w="1600"/>
            <w:tcMar>
              <w:top w:type="dxa" w:w="100"/>
              <w:left w:type="dxa" w:w="120"/>
              <w:bottom w:type="dxa" w:w="100"/>
              <w:right w:type="dxa" w:w="120"/>
            </w:tcMar>
          </w:tcPr>
          <w:p>
            <w:r>
              <w:rPr>
                <w:color w:val="2B2B2B"/>
                <w:sz w:val="20"/>
                <w:szCs w:val="20"/>
              </w:rPr>
              <w:t xml:space="preserve">2 weeks</w:t>
            </w:r>
          </w:p>
        </w:tc>
        <w:tc>
          <w:tcPr>
            <w:tcW w:type="dxa" w:w="2260"/>
            <w:tcMar>
              <w:top w:type="dxa" w:w="100"/>
              <w:left w:type="dxa" w:w="120"/>
              <w:bottom w:type="dxa" w:w="100"/>
              <w:right w:type="dxa" w:w="120"/>
            </w:tcMar>
          </w:tcPr>
          <w:p>
            <w:r>
              <w:rPr>
                <w:color w:val="2B2B2B"/>
                <w:sz w:val="20"/>
                <w:szCs w:val="20"/>
              </w:rPr>
              <w:t xml:space="preserve">Reporting and alerting live</w:t>
            </w:r>
          </w:p>
        </w:tc>
      </w:tr>
      <w:tr>
        <w:tc>
          <w:tcPr>
            <w:tcW w:type="dxa" w:w="2400"/>
            <w:tcMar>
              <w:top w:type="dxa" w:w="100"/>
              <w:left w:type="dxa" w:w="120"/>
              <w:bottom w:type="dxa" w:w="100"/>
              <w:right w:type="dxa" w:w="120"/>
            </w:tcMar>
          </w:tcPr>
          <w:p>
            <w:r>
              <w:rPr>
                <w:color w:val="2B2B2B"/>
                <w:sz w:val="20"/>
                <w:szCs w:val="20"/>
              </w:rPr>
              <w:t xml:space="preserve">5 — Hardening &amp; Go-Live</w:t>
            </w:r>
          </w:p>
        </w:tc>
        <w:tc>
          <w:tcPr>
            <w:tcW w:type="dxa" w:w="4200"/>
            <w:tcMar>
              <w:top w:type="dxa" w:w="100"/>
              <w:left w:type="dxa" w:w="120"/>
              <w:bottom w:type="dxa" w:w="100"/>
              <w:right w:type="dxa" w:w="120"/>
            </w:tcMar>
          </w:tcPr>
          <w:p>
            <w:r>
              <w:rPr>
                <w:color w:val="2B2B2B"/>
                <w:sz w:val="20"/>
                <w:szCs w:val="20"/>
              </w:rPr>
              <w:t xml:space="preserve">Load/failure testing, backup verification, access control audit, user training</w:t>
            </w:r>
          </w:p>
        </w:tc>
        <w:tc>
          <w:tcPr>
            <w:tcW w:type="dxa" w:w="1600"/>
            <w:tcMar>
              <w:top w:type="dxa" w:w="100"/>
              <w:left w:type="dxa" w:w="120"/>
              <w:bottom w:type="dxa" w:w="100"/>
              <w:right w:type="dxa" w:w="120"/>
            </w:tcMar>
          </w:tcPr>
          <w:p>
            <w:r>
              <w:rPr>
                <w:color w:val="2B2B2B"/>
                <w:sz w:val="20"/>
                <w:szCs w:val="20"/>
              </w:rPr>
              <w:t xml:space="preserve">2 weeks</w:t>
            </w:r>
          </w:p>
        </w:tc>
        <w:tc>
          <w:tcPr>
            <w:tcW w:type="dxa" w:w="2260"/>
            <w:tcMar>
              <w:top w:type="dxa" w:w="100"/>
              <w:left w:type="dxa" w:w="120"/>
              <w:bottom w:type="dxa" w:w="100"/>
              <w:right w:type="dxa" w:w="120"/>
            </w:tcMar>
          </w:tcPr>
          <w:p>
            <w:r>
              <w:rPr>
                <w:color w:val="2B2B2B"/>
                <w:sz w:val="20"/>
                <w:szCs w:val="20"/>
              </w:rPr>
              <w:t xml:space="preserve">Production-ready system</w:t>
            </w:r>
          </w:p>
        </w:tc>
      </w:tr>
    </w:tbl>
    <w:p>
      <w:pPr>
        <w:pStyle w:val="Heading1"/>
        <w:spacing w:after="160" w:before="360"/>
      </w:pPr>
      <w:r>
        <w:t xml:space="preserve">4. Functional Requirements</w:t>
      </w:r>
    </w:p>
    <w:p>
      <w:pPr>
        <w:pStyle w:val="Heading2"/>
        <w:spacing w:after="120" w:before="260"/>
      </w:pPr>
      <w:r>
        <w:t xml:space="preserve">4.1 Case Management</w:t>
      </w:r>
    </w:p>
    <w:p>
      <w:pPr>
        <w:pStyle w:val="ListParagraph"/>
        <w:numPr>
          <w:ilvl w:val="0"/>
          <w:numId w:val="2"/>
        </w:numPr>
        <w:spacing w:after="60"/>
      </w:pPr>
      <w:r>
        <w:rPr>
          <w:color w:val="2B2B2B"/>
          <w:sz w:val="21"/>
          <w:szCs w:val="21"/>
        </w:rPr>
        <w:t xml:space="preserve">Create, view, update, and close cases across all three types (grievance, disciplinary, union) in one tracker.</w:t>
      </w:r>
    </w:p>
    <w:p>
      <w:pPr>
        <w:pStyle w:val="ListParagraph"/>
        <w:numPr>
          <w:ilvl w:val="0"/>
          <w:numId w:val="2"/>
        </w:numPr>
        <w:spacing w:after="60"/>
      </w:pPr>
      <w:r>
        <w:rPr>
          <w:color w:val="2B2B2B"/>
          <w:sz w:val="21"/>
          <w:szCs w:val="21"/>
        </w:rPr>
        <w:t xml:space="preserve">Mandatory fields: case type, employee, department, location, date raised, current stage, owner, next action, deadline, outcome.</w:t>
      </w:r>
    </w:p>
    <w:p>
      <w:pPr>
        <w:pStyle w:val="ListParagraph"/>
        <w:numPr>
          <w:ilvl w:val="0"/>
          <w:numId w:val="2"/>
        </w:numPr>
        <w:spacing w:after="60"/>
      </w:pPr>
      <w:r>
        <w:rPr>
          <w:color w:val="2B2B2B"/>
          <w:sz w:val="21"/>
          <w:szCs w:val="21"/>
        </w:rPr>
        <w:t xml:space="preserve">Append-only stage-transition history per case (never overwritten), enabling accurate resolution-time reporting.</w:t>
      </w:r>
    </w:p>
    <w:p>
      <w:pPr>
        <w:pStyle w:val="ListParagraph"/>
        <w:numPr>
          <w:ilvl w:val="0"/>
          <w:numId w:val="2"/>
        </w:numPr>
        <w:spacing w:after="60"/>
      </w:pPr>
      <w:r>
        <w:rPr>
          <w:color w:val="2B2B2B"/>
          <w:sz w:val="21"/>
          <w:szCs w:val="21"/>
        </w:rPr>
        <w:t xml:space="preserve">File/document attachment for meeting minutes and case notes.</w:t>
      </w:r>
    </w:p>
    <w:p>
      <w:pPr>
        <w:pStyle w:val="ListParagraph"/>
        <w:numPr>
          <w:ilvl w:val="0"/>
          <w:numId w:val="2"/>
        </w:numPr>
        <w:spacing w:after="60"/>
      </w:pPr>
      <w:r>
        <w:rPr>
          <w:color w:val="2B2B2B"/>
          <w:sz w:val="21"/>
          <w:szCs w:val="21"/>
        </w:rPr>
        <w:t xml:space="preserve">Search and filter by type, status, location, owner, and date range.</w:t>
      </w:r>
    </w:p>
    <w:p>
      <w:pPr>
        <w:pStyle w:val="Heading2"/>
        <w:spacing w:after="120" w:before="260"/>
      </w:pPr>
      <w:r>
        <w:t xml:space="preserve">4.2 Dashboards &amp; Reporting</w:t>
      </w:r>
    </w:p>
    <w:p>
      <w:pPr>
        <w:pStyle w:val="ListParagraph"/>
        <w:numPr>
          <w:ilvl w:val="0"/>
          <w:numId w:val="2"/>
        </w:numPr>
        <w:spacing w:after="60"/>
      </w:pPr>
      <w:r>
        <w:rPr>
          <w:color w:val="2B2B2B"/>
          <w:sz w:val="21"/>
          <w:szCs w:val="21"/>
        </w:rPr>
        <w:t xml:space="preserve">Top-line snapshot cards: open cases by status, average resolution time by type, cases overdue against SLA, cases closed this month/quarter.</w:t>
      </w:r>
    </w:p>
    <w:p>
      <w:pPr>
        <w:pStyle w:val="ListParagraph"/>
        <w:numPr>
          <w:ilvl w:val="0"/>
          <w:numId w:val="2"/>
        </w:numPr>
        <w:spacing w:after="60"/>
      </w:pPr>
      <w:r>
        <w:rPr>
          <w:color w:val="2B2B2B"/>
          <w:sz w:val="21"/>
          <w:szCs w:val="21"/>
        </w:rPr>
        <w:t xml:space="preserve">Grievance and disciplinary stage-tracker views mapped to the existing procedure steps.</w:t>
      </w:r>
    </w:p>
    <w:p>
      <w:pPr>
        <w:pStyle w:val="ListParagraph"/>
        <w:numPr>
          <w:ilvl w:val="0"/>
          <w:numId w:val="2"/>
        </w:numPr>
        <w:spacing w:after="60"/>
      </w:pPr>
      <w:r>
        <w:rPr>
          <w:color w:val="2B2B2B"/>
          <w:sz w:val="21"/>
          <w:szCs w:val="21"/>
        </w:rPr>
        <w:t xml:space="preserve">Location/department breakdown filter applied across views.</w:t>
      </w:r>
    </w:p>
    <w:p>
      <w:pPr>
        <w:pStyle w:val="ListParagraph"/>
        <w:numPr>
          <w:ilvl w:val="0"/>
          <w:numId w:val="2"/>
        </w:numPr>
        <w:spacing w:after="60"/>
      </w:pPr>
      <w:r>
        <w:rPr>
          <w:color w:val="2B2B2B"/>
          <w:sz w:val="21"/>
          <w:szCs w:val="21"/>
        </w:rPr>
        <w:t xml:space="preserve">Quarterly report auto-generated from the same underlying data, exportable to PDF/Excel.</w:t>
      </w:r>
    </w:p>
    <w:p>
      <w:pPr>
        <w:pStyle w:val="Heading2"/>
        <w:spacing w:after="120" w:before="260"/>
      </w:pPr>
      <w:r>
        <w:t xml:space="preserve">4.3 Union &amp; Training</w:t>
      </w:r>
    </w:p>
    <w:p>
      <w:pPr>
        <w:pStyle w:val="ListParagraph"/>
        <w:numPr>
          <w:ilvl w:val="0"/>
          <w:numId w:val="2"/>
        </w:numPr>
        <w:spacing w:after="60"/>
      </w:pPr>
      <w:r>
        <w:rPr>
          <w:color w:val="2B2B2B"/>
          <w:sz w:val="21"/>
          <w:szCs w:val="21"/>
        </w:rPr>
        <w:t xml:space="preserve">JCC meeting log with linked minutes and outstanding action points.</w:t>
      </w:r>
    </w:p>
    <w:p>
      <w:pPr>
        <w:pStyle w:val="ListParagraph"/>
        <w:numPr>
          <w:ilvl w:val="0"/>
          <w:numId w:val="2"/>
        </w:numPr>
        <w:spacing w:after="60"/>
      </w:pPr>
      <w:r>
        <w:rPr>
          <w:color w:val="2B2B2B"/>
          <w:sz w:val="21"/>
          <w:szCs w:val="21"/>
        </w:rPr>
        <w:t xml:space="preserve">Salary-review negotiation status tracker (pending ratification / approved / implemented).</w:t>
      </w:r>
    </w:p>
    <w:p>
      <w:pPr>
        <w:pStyle w:val="ListParagraph"/>
        <w:numPr>
          <w:ilvl w:val="0"/>
          <w:numId w:val="2"/>
        </w:numPr>
        <w:spacing w:after="60"/>
      </w:pPr>
      <w:r>
        <w:rPr>
          <w:color w:val="2B2B2B"/>
          <w:sz w:val="21"/>
          <w:szCs w:val="21"/>
        </w:rPr>
        <w:t xml:space="preserve">Redundancy/retirement flags where union consultation or redeployment steps are incomplete.</w:t>
      </w:r>
    </w:p>
    <w:p>
      <w:pPr>
        <w:pStyle w:val="ListParagraph"/>
        <w:numPr>
          <w:ilvl w:val="0"/>
          <w:numId w:val="2"/>
        </w:numPr>
        <w:spacing w:after="60"/>
      </w:pPr>
      <w:r>
        <w:rPr>
          <w:color w:val="2B2B2B"/>
          <w:sz w:val="21"/>
          <w:szCs w:val="21"/>
        </w:rPr>
        <w:t xml:space="preserve">Training completion checklist across the six required training areas, filterable by manager/location.</w:t>
      </w:r>
    </w:p>
    <w:p>
      <w:pPr>
        <w:pStyle w:val="Heading2"/>
        <w:spacing w:after="120" w:before="260"/>
      </w:pPr>
      <w:r>
        <w:t xml:space="preserve">4.4 Access &amp; Alerts</w:t>
      </w:r>
    </w:p>
    <w:p>
      <w:pPr>
        <w:pStyle w:val="ListParagraph"/>
        <w:numPr>
          <w:ilvl w:val="0"/>
          <w:numId w:val="2"/>
        </w:numPr>
        <w:spacing w:after="60"/>
      </w:pPr>
      <w:r>
        <w:rPr>
          <w:color w:val="2B2B2B"/>
          <w:sz w:val="21"/>
          <w:szCs w:val="21"/>
        </w:rPr>
        <w:t xml:space="preserve">Role-based access: ER Manager (full access), line managers (their department/location only), HR Director (read-only plus reports).</w:t>
      </w:r>
    </w:p>
    <w:p>
      <w:pPr>
        <w:pStyle w:val="ListParagraph"/>
        <w:numPr>
          <w:ilvl w:val="0"/>
          <w:numId w:val="2"/>
        </w:numPr>
        <w:spacing w:after="60"/>
      </w:pPr>
      <w:r>
        <w:rPr>
          <w:color w:val="2B2B2B"/>
          <w:sz w:val="21"/>
          <w:szCs w:val="21"/>
        </w:rPr>
        <w:t xml:space="preserve">Deadline-driven alerts: SLA nearing breach, training incomplete, meeting minutes not logged — delivered in-app and by email.</w:t>
      </w:r>
    </w:p>
    <w:p>
      <w:pPr>
        <w:pStyle w:val="ListParagraph"/>
        <w:numPr>
          <w:ilvl w:val="0"/>
          <w:numId w:val="2"/>
        </w:numPr>
        <w:spacing w:after="60"/>
      </w:pPr>
      <w:r>
        <w:rPr>
          <w:color w:val="2B2B2B"/>
          <w:sz w:val="21"/>
          <w:szCs w:val="21"/>
        </w:rPr>
        <w:t xml:space="preserve">Full audit trail of who changed what and when.</w:t>
      </w:r>
    </w:p>
    <w:p>
      <w:pPr>
        <w:pStyle w:val="Heading1"/>
        <w:spacing w:after="160" w:before="360"/>
      </w:pPr>
      <w:r>
        <w:t xml:space="preserve">5. Non-Functional Requirements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060"/>
      </w:tblGrid>
      <w:tr>
        <w:trPr>
          <w:tblHeader/>
        </w:trPr>
        <w:tc>
          <w:tcPr>
            <w:tcW w:type="dxa" w:w="2600"/>
            <w:shd w:fill="C8102E" w:val="clear"/>
            <w:tcMar>
              <w:top w:type="dxa" w:w="100"/>
              <w:left w:type="dxa" w:w="120"/>
              <w:bottom w:type="dxa" w:w="100"/>
              <w:right w:type="dxa" w:w="120"/>
            </w:tcMar>
          </w:tcPr>
          <w:p>
            <w:r>
              <w:rPr>
                <w:b/>
                <w:bCs/>
                <w:color w:val="FFFFFF"/>
                <w:sz w:val="20"/>
                <w:szCs w:val="20"/>
              </w:rPr>
              <w:t xml:space="preserve">Requirement</w:t>
            </w:r>
          </w:p>
        </w:tc>
        <w:tc>
          <w:tcPr>
            <w:tcW w:type="dxa" w:w="2800"/>
            <w:shd w:fill="C8102E" w:val="clear"/>
            <w:tcMar>
              <w:top w:type="dxa" w:w="100"/>
              <w:left w:type="dxa" w:w="120"/>
              <w:bottom w:type="dxa" w:w="100"/>
              <w:right w:type="dxa" w:w="120"/>
            </w:tcMar>
          </w:tcPr>
          <w:p>
            <w:r>
              <w:rPr>
                <w:b/>
                <w:bCs/>
                <w:color w:val="FFFFFF"/>
                <w:sz w:val="20"/>
                <w:szCs w:val="20"/>
              </w:rPr>
              <w:t xml:space="preserve">Target</w:t>
            </w:r>
          </w:p>
        </w:tc>
        <w:tc>
          <w:tcPr>
            <w:tcW w:type="dxa" w:w="3060"/>
            <w:shd w:fill="C8102E" w:val="clear"/>
            <w:tcMar>
              <w:top w:type="dxa" w:w="100"/>
              <w:left w:type="dxa" w:w="120"/>
              <w:bottom w:type="dxa" w:w="100"/>
              <w:right w:type="dxa" w:w="120"/>
            </w:tcMar>
          </w:tcPr>
          <w:p>
            <w:r>
              <w:rPr>
                <w:b/>
                <w:bCs/>
                <w:color w:val="FFFFFF"/>
                <w:sz w:val="20"/>
                <w:szCs w:val="20"/>
              </w:rPr>
              <w:t xml:space="preserve">Rationale</w:t>
            </w:r>
          </w:p>
        </w:tc>
      </w:tr>
      <w:tr>
        <w:tc>
          <w:tcPr>
            <w:tcW w:type="dxa" w:w="2600"/>
            <w:tcMar>
              <w:top w:type="dxa" w:w="100"/>
              <w:left w:type="dxa" w:w="120"/>
              <w:bottom w:type="dxa" w:w="100"/>
              <w:right w:type="dxa" w:w="120"/>
            </w:tcMar>
          </w:tcPr>
          <w:p>
            <w:r>
              <w:rPr>
                <w:color w:val="2B2B2B"/>
                <w:sz w:val="20"/>
                <w:szCs w:val="20"/>
              </w:rPr>
              <w:t xml:space="preserve">Availability</w:t>
            </w:r>
          </w:p>
        </w:tc>
        <w:tc>
          <w:tcPr>
            <w:tcW w:type="dxa" w:w="2800"/>
            <w:tcMar>
              <w:top w:type="dxa" w:w="100"/>
              <w:left w:type="dxa" w:w="120"/>
              <w:bottom w:type="dxa" w:w="100"/>
              <w:right w:type="dxa" w:w="120"/>
            </w:tcMar>
          </w:tcPr>
          <w:p>
            <w:r>
              <w:rPr>
                <w:color w:val="2B2B2B"/>
                <w:sz w:val="20"/>
                <w:szCs w:val="20"/>
              </w:rPr>
              <w:t xml:space="preserve">99.5% during business hours</w:t>
            </w:r>
          </w:p>
        </w:tc>
        <w:tc>
          <w:tcPr>
            <w:tcW w:type="dxa" w:w="3060"/>
            <w:tcMar>
              <w:top w:type="dxa" w:w="100"/>
              <w:left w:type="dxa" w:w="120"/>
              <w:bottom w:type="dxa" w:w="100"/>
              <w:right w:type="dxa" w:w="120"/>
            </w:tcMar>
          </w:tcPr>
          <w:p>
            <w:r>
              <w:rPr>
                <w:color w:val="2B2B2B"/>
                <w:sz w:val="20"/>
                <w:szCs w:val="20"/>
              </w:rPr>
              <w:t xml:space="preserve">Realistic and cost-effective for an internal ER tool; agreed before architecture is finalised</w:t>
            </w:r>
          </w:p>
        </w:tc>
      </w:tr>
      <w:tr>
        <w:tc>
          <w:tcPr>
            <w:tcW w:type="dxa" w:w="2600"/>
            <w:tcMar>
              <w:top w:type="dxa" w:w="100"/>
              <w:left w:type="dxa" w:w="120"/>
              <w:bottom w:type="dxa" w:w="100"/>
              <w:right w:type="dxa" w:w="120"/>
            </w:tcMar>
          </w:tcPr>
          <w:p>
            <w:r>
              <w:rPr>
                <w:color w:val="2B2B2B"/>
                <w:sz w:val="20"/>
                <w:szCs w:val="20"/>
              </w:rPr>
              <w:t xml:space="preserve">RPO (Recovery Point Objective)</w:t>
            </w:r>
          </w:p>
        </w:tc>
        <w:tc>
          <w:tcPr>
            <w:tcW w:type="dxa" w:w="2800"/>
            <w:tcMar>
              <w:top w:type="dxa" w:w="100"/>
              <w:left w:type="dxa" w:w="120"/>
              <w:bottom w:type="dxa" w:w="100"/>
              <w:right w:type="dxa" w:w="120"/>
            </w:tcMar>
          </w:tcPr>
          <w:p>
            <w:r>
              <w:rPr>
                <w:color w:val="2B2B2B"/>
                <w:sz w:val="20"/>
                <w:szCs w:val="20"/>
              </w:rPr>
              <w:t xml:space="preserve">Near-zero — continuous/point-in-time backup</w:t>
            </w:r>
          </w:p>
        </w:tc>
        <w:tc>
          <w:tcPr>
            <w:tcW w:type="dxa" w:w="3060"/>
            <w:tcMar>
              <w:top w:type="dxa" w:w="100"/>
              <w:left w:type="dxa" w:w="120"/>
              <w:bottom w:type="dxa" w:w="100"/>
              <w:right w:type="dxa" w:w="120"/>
            </w:tcMar>
          </w:tcPr>
          <w:p>
            <w:r>
              <w:rPr>
                <w:color w:val="2B2B2B"/>
                <w:sz w:val="20"/>
                <w:szCs w:val="20"/>
              </w:rPr>
              <w:t xml:space="preserve">Grievance and disciplinary records are sensitive; daily backup alone is insufficient</w:t>
            </w:r>
          </w:p>
        </w:tc>
      </w:tr>
      <w:tr>
        <w:tc>
          <w:tcPr>
            <w:tcW w:type="dxa" w:w="2600"/>
            <w:tcMar>
              <w:top w:type="dxa" w:w="100"/>
              <w:left w:type="dxa" w:w="120"/>
              <w:bottom w:type="dxa" w:w="100"/>
              <w:right w:type="dxa" w:w="120"/>
            </w:tcMar>
          </w:tcPr>
          <w:p>
            <w:r>
              <w:rPr>
                <w:color w:val="2B2B2B"/>
                <w:sz w:val="20"/>
                <w:szCs w:val="20"/>
              </w:rPr>
              <w:t xml:space="preserve">RTO (Recovery Time Objective)</w:t>
            </w:r>
          </w:p>
        </w:tc>
        <w:tc>
          <w:tcPr>
            <w:tcW w:type="dxa" w:w="2800"/>
            <w:tcMar>
              <w:top w:type="dxa" w:w="100"/>
              <w:left w:type="dxa" w:w="120"/>
              <w:bottom w:type="dxa" w:w="100"/>
              <w:right w:type="dxa" w:w="120"/>
            </w:tcMar>
          </w:tcPr>
          <w:p>
            <w:r>
              <w:rPr>
                <w:color w:val="2B2B2B"/>
                <w:sz w:val="20"/>
                <w:szCs w:val="20"/>
              </w:rPr>
              <w:t xml:space="preserve">Under 4 hours</w:t>
            </w:r>
          </w:p>
        </w:tc>
        <w:tc>
          <w:tcPr>
            <w:tcW w:type="dxa" w:w="3060"/>
            <w:tcMar>
              <w:top w:type="dxa" w:w="100"/>
              <w:left w:type="dxa" w:w="120"/>
              <w:bottom w:type="dxa" w:w="100"/>
              <w:right w:type="dxa" w:w="120"/>
            </w:tcMar>
          </w:tcPr>
          <w:p>
            <w:r>
              <w:rPr>
                <w:color w:val="2B2B2B"/>
                <w:sz w:val="20"/>
                <w:szCs w:val="20"/>
              </w:rPr>
              <w:t xml:space="preserve">Acceptable recovery window for an internal system, avoids premium high-availability cost</w:t>
            </w:r>
          </w:p>
        </w:tc>
      </w:tr>
      <w:tr>
        <w:tc>
          <w:tcPr>
            <w:tcW w:type="dxa" w:w="2600"/>
            <w:tcMar>
              <w:top w:type="dxa" w:w="100"/>
              <w:left w:type="dxa" w:w="120"/>
              <w:bottom w:type="dxa" w:w="100"/>
              <w:right w:type="dxa" w:w="120"/>
            </w:tcMar>
          </w:tcPr>
          <w:p>
            <w:r>
              <w:rPr>
                <w:color w:val="2B2B2B"/>
                <w:sz w:val="20"/>
                <w:szCs w:val="20"/>
              </w:rPr>
              <w:t xml:space="preserve">Data security</w:t>
            </w:r>
          </w:p>
        </w:tc>
        <w:tc>
          <w:tcPr>
            <w:tcW w:type="dxa" w:w="2800"/>
            <w:tcMar>
              <w:top w:type="dxa" w:w="100"/>
              <w:left w:type="dxa" w:w="120"/>
              <w:bottom w:type="dxa" w:w="100"/>
              <w:right w:type="dxa" w:w="120"/>
            </w:tcMar>
          </w:tcPr>
          <w:p>
            <w:r>
              <w:rPr>
                <w:color w:val="2B2B2B"/>
                <w:sz w:val="20"/>
                <w:szCs w:val="20"/>
              </w:rPr>
              <w:t xml:space="preserve">Encryption at rest and in transit, role-based access, audit logging</w:t>
            </w:r>
          </w:p>
        </w:tc>
        <w:tc>
          <w:tcPr>
            <w:tcW w:type="dxa" w:w="3060"/>
            <w:tcMar>
              <w:top w:type="dxa" w:w="100"/>
              <w:left w:type="dxa" w:w="120"/>
              <w:bottom w:type="dxa" w:w="100"/>
              <w:right w:type="dxa" w:w="120"/>
            </w:tcMar>
          </w:tcPr>
          <w:p>
            <w:r>
              <w:rPr>
                <w:color w:val="2B2B2B"/>
                <w:sz w:val="20"/>
                <w:szCs w:val="20"/>
              </w:rPr>
              <w:t xml:space="preserve">System holds sensitive disciplinary and grievance records</w:t>
            </w:r>
          </w:p>
        </w:tc>
      </w:tr>
      <w:tr>
        <w:tc>
          <w:tcPr>
            <w:tcW w:type="dxa" w:w="2600"/>
            <w:tcMar>
              <w:top w:type="dxa" w:w="100"/>
              <w:left w:type="dxa" w:w="120"/>
              <w:bottom w:type="dxa" w:w="100"/>
              <w:right w:type="dxa" w:w="120"/>
            </w:tcMar>
          </w:tcPr>
          <w:p>
            <w:r>
              <w:rPr>
                <w:color w:val="2B2B2B"/>
                <w:sz w:val="20"/>
                <w:szCs w:val="20"/>
              </w:rPr>
              <w:t xml:space="preserve">Performance</w:t>
            </w:r>
          </w:p>
        </w:tc>
        <w:tc>
          <w:tcPr>
            <w:tcW w:type="dxa" w:w="2800"/>
            <w:tcMar>
              <w:top w:type="dxa" w:w="100"/>
              <w:left w:type="dxa" w:w="120"/>
              <w:bottom w:type="dxa" w:w="100"/>
              <w:right w:type="dxa" w:w="120"/>
            </w:tcMar>
          </w:tcPr>
          <w:p>
            <w:r>
              <w:rPr>
                <w:color w:val="2B2B2B"/>
                <w:sz w:val="20"/>
                <w:szCs w:val="20"/>
              </w:rPr>
              <w:t xml:space="preserve">Dashboard loads under 2 seconds at full historical volume</w:t>
            </w:r>
          </w:p>
        </w:tc>
        <w:tc>
          <w:tcPr>
            <w:tcW w:type="dxa" w:w="3060"/>
            <w:tcMar>
              <w:top w:type="dxa" w:w="100"/>
              <w:left w:type="dxa" w:w="120"/>
              <w:bottom w:type="dxa" w:w="100"/>
              <w:right w:type="dxa" w:w="120"/>
            </w:tcMar>
          </w:tcPr>
          <w:p>
            <w:r>
              <w:rPr>
                <w:color w:val="2B2B2B"/>
                <w:sz w:val="20"/>
                <w:szCs w:val="20"/>
              </w:rPr>
              <w:t xml:space="preserve">Materialized views and indexing keep this achievable without scaling infrastructure</w:t>
            </w:r>
          </w:p>
        </w:tc>
      </w:tr>
      <w:tr>
        <w:tc>
          <w:tcPr>
            <w:tcW w:type="dxa" w:w="2600"/>
            <w:tcMar>
              <w:top w:type="dxa" w:w="100"/>
              <w:left w:type="dxa" w:w="120"/>
              <w:bottom w:type="dxa" w:w="100"/>
              <w:right w:type="dxa" w:w="120"/>
            </w:tcMar>
          </w:tcPr>
          <w:p>
            <w:r>
              <w:rPr>
                <w:color w:val="2B2B2B"/>
                <w:sz w:val="20"/>
                <w:szCs w:val="20"/>
              </w:rPr>
              <w:t xml:space="preserve">Location access</w:t>
            </w:r>
          </w:p>
        </w:tc>
        <w:tc>
          <w:tcPr>
            <w:tcW w:type="dxa" w:w="2800"/>
            <w:tcMar>
              <w:top w:type="dxa" w:w="100"/>
              <w:left w:type="dxa" w:w="120"/>
              <w:bottom w:type="dxa" w:w="100"/>
              <w:right w:type="dxa" w:w="120"/>
            </w:tcMar>
          </w:tcPr>
          <w:p>
            <w:r>
              <w:rPr>
                <w:color w:val="2B2B2B"/>
                <w:sz w:val="20"/>
                <w:szCs w:val="20"/>
              </w:rPr>
              <w:t xml:space="preserve">Reliable web access from Lagos and outstation sites</w:t>
            </w:r>
          </w:p>
        </w:tc>
        <w:tc>
          <w:tcPr>
            <w:tcW w:type="dxa" w:w="3060"/>
            <w:tcMar>
              <w:top w:type="dxa" w:w="100"/>
              <w:left w:type="dxa" w:w="120"/>
              <w:bottom w:type="dxa" w:w="100"/>
              <w:right w:type="dxa" w:w="120"/>
            </w:tcMar>
          </w:tcPr>
          <w:p>
            <w:r>
              <w:rPr>
                <w:color w:val="2B2B2B"/>
                <w:sz w:val="20"/>
                <w:szCs w:val="20"/>
              </w:rPr>
              <w:t xml:space="preserve">Consistency across sites is an explicit objective</w:t>
            </w:r>
          </w:p>
        </w:tc>
      </w:tr>
    </w:tbl>
    <w:p>
      <w:pPr>
        <w:pStyle w:val="Heading1"/>
        <w:spacing w:after="160" w:before="360"/>
      </w:pPr>
      <w:r>
        <w:t xml:space="preserve">6. System Architecture</w:t>
      </w:r>
    </w:p>
    <w:p>
      <w:pPr>
        <w:spacing w:after="140"/>
      </w:pPr>
      <w:r>
        <w:rPr>
          <w:color w:val="2B2B2B"/>
          <w:sz w:val="21"/>
          <w:szCs w:val="21"/>
        </w:rPr>
        <w:t xml:space="preserve">Given the actual scale of this workload — a few hundred active cases, not high-throughput transactional data — a right-sized architecture is a single well-indexed relational database behind a modular web application, rather than a distributed microservices setup. Over-engineering this system would raise cost and failure surface without a corresponding benefit.</w:t>
      </w:r>
    </w:p>
    <w:p>
      <w:pPr>
        <w:pStyle w:val="Heading2"/>
        <w:spacing w:after="120" w:before="260"/>
      </w:pPr>
      <w:r>
        <w:t xml:space="preserve">6.1 Data Model</w:t>
      </w:r>
    </w:p>
    <w:p>
      <w:pPr>
        <w:pStyle w:val="ListParagraph"/>
        <w:numPr>
          <w:ilvl w:val="0"/>
          <w:numId w:val="2"/>
        </w:numPr>
        <w:spacing w:after="60"/>
      </w:pPr>
      <w:r>
        <w:rPr>
          <w:color w:val="2B2B2B"/>
          <w:sz w:val="21"/>
          <w:szCs w:val="21"/>
        </w:rPr>
        <w:t xml:space="preserve">Cases (spine table): id, case_type, employee_id, department, location, date_raised, current_stage, owner_id, next_action, deadline, outcome, status.</w:t>
      </w:r>
    </w:p>
    <w:p>
      <w:pPr>
        <w:pStyle w:val="ListParagraph"/>
        <w:numPr>
          <w:ilvl w:val="0"/>
          <w:numId w:val="2"/>
        </w:numPr>
        <w:spacing w:after="60"/>
      </w:pPr>
      <w:r>
        <w:rPr>
          <w:color w:val="2B2B2B"/>
          <w:sz w:val="21"/>
          <w:szCs w:val="21"/>
        </w:rPr>
        <w:t xml:space="preserve">Case_Stage_History: append-only log of stage transitions — powers both the progress-bar view and resolution-time metrics.</w:t>
      </w:r>
    </w:p>
    <w:p>
      <w:pPr>
        <w:pStyle w:val="ListParagraph"/>
        <w:numPr>
          <w:ilvl w:val="0"/>
          <w:numId w:val="2"/>
        </w:numPr>
        <w:spacing w:after="60"/>
      </w:pPr>
      <w:r>
        <w:rPr>
          <w:color w:val="2B2B2B"/>
          <w:sz w:val="21"/>
          <w:szCs w:val="21"/>
        </w:rPr>
        <w:t xml:space="preserve">Case_Type_Detail: type-specific fields (appeal notes, hearing dates, union references), kept separate so the core table stays generic.</w:t>
      </w:r>
    </w:p>
    <w:p>
      <w:pPr>
        <w:pStyle w:val="ListParagraph"/>
        <w:numPr>
          <w:ilvl w:val="0"/>
          <w:numId w:val="2"/>
        </w:numPr>
        <w:spacing w:after="60"/>
      </w:pPr>
      <w:r>
        <w:rPr>
          <w:color w:val="2B2B2B"/>
          <w:sz w:val="21"/>
          <w:szCs w:val="21"/>
        </w:rPr>
        <w:t xml:space="preserve">JCC_Meetings and Meeting_Action_Points: meeting records and linked action items.</w:t>
      </w:r>
    </w:p>
    <w:p>
      <w:pPr>
        <w:pStyle w:val="ListParagraph"/>
        <w:numPr>
          <w:ilvl w:val="0"/>
          <w:numId w:val="2"/>
        </w:numPr>
        <w:spacing w:after="60"/>
      </w:pPr>
      <w:r>
        <w:rPr>
          <w:color w:val="2B2B2B"/>
          <w:sz w:val="21"/>
          <w:szCs w:val="21"/>
        </w:rPr>
        <w:t xml:space="preserve">Training_Completions: employee, module, completion date, manager, location.</w:t>
      </w:r>
    </w:p>
    <w:p>
      <w:pPr>
        <w:pStyle w:val="ListParagraph"/>
        <w:numPr>
          <w:ilvl w:val="0"/>
          <w:numId w:val="2"/>
        </w:numPr>
        <w:spacing w:after="60"/>
      </w:pPr>
      <w:r>
        <w:rPr>
          <w:color w:val="2B2B2B"/>
          <w:sz w:val="21"/>
          <w:szCs w:val="21"/>
        </w:rPr>
        <w:t xml:space="preserve">Redundancy_Flags: linked to cases, tracking consultation and redeployment step completion.</w:t>
      </w:r>
    </w:p>
    <w:p>
      <w:pPr>
        <w:pStyle w:val="Heading2"/>
        <w:spacing w:after="120" w:before="260"/>
      </w:pPr>
      <w:r>
        <w:t xml:space="preserve">6.2 Reliability Design</w:t>
      </w:r>
    </w:p>
    <w:p>
      <w:pPr>
        <w:pStyle w:val="ListParagraph"/>
        <w:numPr>
          <w:ilvl w:val="0"/>
          <w:numId w:val="2"/>
        </w:numPr>
        <w:spacing w:after="60"/>
      </w:pPr>
      <w:r>
        <w:rPr>
          <w:color w:val="2B2B2B"/>
          <w:sz w:val="21"/>
          <w:szCs w:val="21"/>
        </w:rPr>
        <w:t xml:space="preserve">Managed PostgreSQL with automated backups and point-in-time recovery, rather than self-hosted database administration.</w:t>
      </w:r>
    </w:p>
    <w:p>
      <w:pPr>
        <w:pStyle w:val="ListParagraph"/>
        <w:numPr>
          <w:ilvl w:val="0"/>
          <w:numId w:val="2"/>
        </w:numPr>
        <w:spacing w:after="60"/>
      </w:pPr>
      <w:r>
        <w:rPr>
          <w:color w:val="2B2B2B"/>
          <w:sz w:val="21"/>
          <w:szCs w:val="21"/>
        </w:rPr>
        <w:t xml:space="preserve">Application servers run as 2+ instances behind a load balancer, so a crash or deployment on one instance doesn't interrupt access.</w:t>
      </w:r>
    </w:p>
    <w:p>
      <w:pPr>
        <w:pStyle w:val="ListParagraph"/>
        <w:numPr>
          <w:ilvl w:val="0"/>
          <w:numId w:val="2"/>
        </w:numPr>
        <w:spacing w:after="60"/>
      </w:pPr>
      <w:r>
        <w:rPr>
          <w:color w:val="2B2B2B"/>
          <w:sz w:val="21"/>
          <w:szCs w:val="21"/>
        </w:rPr>
        <w:t xml:space="preserve">Health checks with automatic restart on failed instances.</w:t>
      </w:r>
    </w:p>
    <w:p>
      <w:pPr>
        <w:pStyle w:val="ListParagraph"/>
        <w:numPr>
          <w:ilvl w:val="0"/>
          <w:numId w:val="2"/>
        </w:numPr>
        <w:spacing w:after="60"/>
      </w:pPr>
      <w:r>
        <w:rPr>
          <w:color w:val="2B2B2B"/>
          <w:sz w:val="21"/>
          <w:szCs w:val="21"/>
        </w:rPr>
        <w:t xml:space="preserve">Materialized views for dashboard cards, refreshed on a schedule — the dashboard never runs expensive live aggregate queries.</w:t>
      </w:r>
    </w:p>
    <w:p>
      <w:pPr>
        <w:pStyle w:val="ListParagraph"/>
        <w:numPr>
          <w:ilvl w:val="0"/>
          <w:numId w:val="2"/>
        </w:numPr>
        <w:spacing w:after="60"/>
      </w:pPr>
      <w:r>
        <w:rPr>
          <w:color w:val="2B2B2B"/>
          <w:sz w:val="21"/>
          <w:szCs w:val="21"/>
        </w:rPr>
        <w:t xml:space="preserve">A single scheduled job handles SLA/training alert scanning once daily — predictable, low load, rather than continuous polling.</w:t>
      </w:r>
    </w:p>
    <w:p>
      <w:pPr>
        <w:pStyle w:val="ListParagraph"/>
        <w:numPr>
          <w:ilvl w:val="0"/>
          <w:numId w:val="2"/>
        </w:numPr>
        <w:spacing w:after="60"/>
      </w:pPr>
      <w:r>
        <w:rPr>
          <w:color w:val="2B2B2B"/>
          <w:sz w:val="21"/>
          <w:szCs w:val="21"/>
        </w:rPr>
        <w:t xml:space="preserve">Staging environment mandatory before any change reaches production, given the sensitivity of disciplinary data.</w:t>
      </w:r>
    </w:p>
    <w:p>
      <w:pPr>
        <w:pStyle w:val="ListParagraph"/>
        <w:numPr>
          <w:ilvl w:val="0"/>
          <w:numId w:val="2"/>
        </w:numPr>
        <w:spacing w:after="60"/>
      </w:pPr>
      <w:r>
        <w:rPr>
          <w:color w:val="2B2B2B"/>
          <w:sz w:val="21"/>
          <w:szCs w:val="21"/>
        </w:rPr>
        <w:t xml:space="preserve">Weekly automated restore test, so backups are proven to work rather than assumed to.</w:t>
      </w:r>
    </w:p>
    <w:p>
      <w:pPr>
        <w:pStyle w:val="Heading1"/>
        <w:spacing w:after="160" w:before="360"/>
      </w:pPr>
      <w:r>
        <w:t xml:space="preserve">7. Technology Stack</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460"/>
      </w:tblGrid>
      <w:tr>
        <w:trPr>
          <w:tblHeader/>
        </w:trPr>
        <w:tc>
          <w:tcPr>
            <w:tcW w:type="dxa" w:w="1800"/>
            <w:shd w:fill="C8102E" w:val="clear"/>
            <w:tcMar>
              <w:top w:type="dxa" w:w="100"/>
              <w:left w:type="dxa" w:w="120"/>
              <w:bottom w:type="dxa" w:w="100"/>
              <w:right w:type="dxa" w:w="120"/>
            </w:tcMar>
          </w:tcPr>
          <w:p>
            <w:r>
              <w:rPr>
                <w:b/>
                <w:bCs/>
                <w:color w:val="FFFFFF"/>
                <w:sz w:val="20"/>
                <w:szCs w:val="20"/>
              </w:rPr>
              <w:t xml:space="preserve">Layer</w:t>
            </w:r>
          </w:p>
        </w:tc>
        <w:tc>
          <w:tcPr>
            <w:tcW w:type="dxa" w:w="3200"/>
            <w:shd w:fill="C8102E" w:val="clear"/>
            <w:tcMar>
              <w:top w:type="dxa" w:w="100"/>
              <w:left w:type="dxa" w:w="120"/>
              <w:bottom w:type="dxa" w:w="100"/>
              <w:right w:type="dxa" w:w="120"/>
            </w:tcMar>
          </w:tcPr>
          <w:p>
            <w:r>
              <w:rPr>
                <w:b/>
                <w:bCs/>
                <w:color w:val="FFFFFF"/>
                <w:sz w:val="20"/>
                <w:szCs w:val="20"/>
              </w:rPr>
              <w:t xml:space="preserve">Choice</w:t>
            </w:r>
          </w:p>
        </w:tc>
        <w:tc>
          <w:tcPr>
            <w:tcW w:type="dxa" w:w="3460"/>
            <w:shd w:fill="C8102E" w:val="clear"/>
            <w:tcMar>
              <w:top w:type="dxa" w:w="100"/>
              <w:left w:type="dxa" w:w="120"/>
              <w:bottom w:type="dxa" w:w="100"/>
              <w:right w:type="dxa" w:w="120"/>
            </w:tcMar>
          </w:tcPr>
          <w:p>
            <w:r>
              <w:rPr>
                <w:b/>
                <w:bCs/>
                <w:color w:val="FFFFFF"/>
                <w:sz w:val="20"/>
                <w:szCs w:val="20"/>
              </w:rPr>
              <w:t xml:space="preserve">Notes</w:t>
            </w:r>
          </w:p>
        </w:tc>
      </w:tr>
      <w:tr>
        <w:tc>
          <w:tcPr>
            <w:tcW w:type="dxa" w:w="1800"/>
            <w:tcMar>
              <w:top w:type="dxa" w:w="100"/>
              <w:left w:type="dxa" w:w="120"/>
              <w:bottom w:type="dxa" w:w="100"/>
              <w:right w:type="dxa" w:w="120"/>
            </w:tcMar>
          </w:tcPr>
          <w:p>
            <w:r>
              <w:rPr>
                <w:color w:val="2B2B2B"/>
                <w:sz w:val="20"/>
                <w:szCs w:val="20"/>
              </w:rPr>
              <w:t xml:space="preserve">Frontend</w:t>
            </w:r>
          </w:p>
        </w:tc>
        <w:tc>
          <w:tcPr>
            <w:tcW w:type="dxa" w:w="3200"/>
            <w:tcMar>
              <w:top w:type="dxa" w:w="100"/>
              <w:left w:type="dxa" w:w="120"/>
              <w:bottom w:type="dxa" w:w="100"/>
              <w:right w:type="dxa" w:w="120"/>
            </w:tcMar>
          </w:tcPr>
          <w:p>
            <w:r>
              <w:rPr>
                <w:color w:val="2B2B2B"/>
                <w:sz w:val="20"/>
                <w:szCs w:val="20"/>
              </w:rPr>
              <w:t xml:space="preserve">React</w:t>
            </w:r>
          </w:p>
        </w:tc>
        <w:tc>
          <w:tcPr>
            <w:tcW w:type="dxa" w:w="3460"/>
            <w:tcMar>
              <w:top w:type="dxa" w:w="100"/>
              <w:left w:type="dxa" w:w="120"/>
              <w:bottom w:type="dxa" w:w="100"/>
              <w:right w:type="dxa" w:w="120"/>
            </w:tcMar>
          </w:tcPr>
          <w:p>
            <w:r>
              <w:rPr>
                <w:color w:val="2B2B2B"/>
                <w:sz w:val="20"/>
                <w:szCs w:val="20"/>
              </w:rPr>
              <w:t xml:space="preserve">Consistent with existing team familiarity</w:t>
            </w:r>
          </w:p>
        </w:tc>
      </w:tr>
      <w:tr>
        <w:tc>
          <w:tcPr>
            <w:tcW w:type="dxa" w:w="1800"/>
            <w:tcMar>
              <w:top w:type="dxa" w:w="100"/>
              <w:left w:type="dxa" w:w="120"/>
              <w:bottom w:type="dxa" w:w="100"/>
              <w:right w:type="dxa" w:w="120"/>
            </w:tcMar>
          </w:tcPr>
          <w:p>
            <w:r>
              <w:rPr>
                <w:color w:val="2B2B2B"/>
                <w:sz w:val="20"/>
                <w:szCs w:val="20"/>
              </w:rPr>
              <w:t xml:space="preserve">Backend</w:t>
            </w:r>
          </w:p>
        </w:tc>
        <w:tc>
          <w:tcPr>
            <w:tcW w:type="dxa" w:w="3200"/>
            <w:tcMar>
              <w:top w:type="dxa" w:w="100"/>
              <w:left w:type="dxa" w:w="120"/>
              <w:bottom w:type="dxa" w:w="100"/>
              <w:right w:type="dxa" w:w="120"/>
            </w:tcMar>
          </w:tcPr>
          <w:p>
            <w:r>
              <w:rPr>
                <w:color w:val="2B2B2B"/>
                <w:sz w:val="20"/>
                <w:szCs w:val="20"/>
              </w:rPr>
              <w:t xml:space="preserve">Node.js (Express/Fastify)</w:t>
            </w:r>
          </w:p>
        </w:tc>
        <w:tc>
          <w:tcPr>
            <w:tcW w:type="dxa" w:w="3460"/>
            <w:tcMar>
              <w:top w:type="dxa" w:w="100"/>
              <w:left w:type="dxa" w:w="120"/>
              <w:bottom w:type="dxa" w:w="100"/>
              <w:right w:type="dxa" w:w="120"/>
            </w:tcMar>
          </w:tcPr>
          <w:p>
            <w:r>
              <w:rPr>
                <w:color w:val="2B2B2B"/>
                <w:sz w:val="20"/>
                <w:szCs w:val="20"/>
              </w:rPr>
              <w:t xml:space="preserve">Straightforward REST API layer</w:t>
            </w:r>
          </w:p>
        </w:tc>
      </w:tr>
      <w:tr>
        <w:tc>
          <w:tcPr>
            <w:tcW w:type="dxa" w:w="1800"/>
            <w:tcMar>
              <w:top w:type="dxa" w:w="100"/>
              <w:left w:type="dxa" w:w="120"/>
              <w:bottom w:type="dxa" w:w="100"/>
              <w:right w:type="dxa" w:w="120"/>
            </w:tcMar>
          </w:tcPr>
          <w:p>
            <w:r>
              <w:rPr>
                <w:color w:val="2B2B2B"/>
                <w:sz w:val="20"/>
                <w:szCs w:val="20"/>
              </w:rPr>
              <w:t xml:space="preserve">Database</w:t>
            </w:r>
          </w:p>
        </w:tc>
        <w:tc>
          <w:tcPr>
            <w:tcW w:type="dxa" w:w="3200"/>
            <w:tcMar>
              <w:top w:type="dxa" w:w="100"/>
              <w:left w:type="dxa" w:w="120"/>
              <w:bottom w:type="dxa" w:w="100"/>
              <w:right w:type="dxa" w:w="120"/>
            </w:tcMar>
          </w:tcPr>
          <w:p>
            <w:r>
              <w:rPr>
                <w:color w:val="2B2B2B"/>
                <w:sz w:val="20"/>
                <w:szCs w:val="20"/>
              </w:rPr>
              <w:t xml:space="preserve">PostgreSQL (managed)</w:t>
            </w:r>
          </w:p>
        </w:tc>
        <w:tc>
          <w:tcPr>
            <w:tcW w:type="dxa" w:w="3460"/>
            <w:tcMar>
              <w:top w:type="dxa" w:w="100"/>
              <w:left w:type="dxa" w:w="120"/>
              <w:bottom w:type="dxa" w:w="100"/>
              <w:right w:type="dxa" w:w="120"/>
            </w:tcMar>
          </w:tcPr>
          <w:p>
            <w:r>
              <w:rPr>
                <w:color w:val="2B2B2B"/>
                <w:sz w:val="20"/>
                <w:szCs w:val="20"/>
              </w:rPr>
              <w:t xml:space="preserve">Automated backups, point-in-time recovery, strong relational fit for the case data model</w:t>
            </w:r>
          </w:p>
        </w:tc>
      </w:tr>
      <w:tr>
        <w:tc>
          <w:tcPr>
            <w:tcW w:type="dxa" w:w="1800"/>
            <w:tcMar>
              <w:top w:type="dxa" w:w="100"/>
              <w:left w:type="dxa" w:w="120"/>
              <w:bottom w:type="dxa" w:w="100"/>
              <w:right w:type="dxa" w:w="120"/>
            </w:tcMar>
          </w:tcPr>
          <w:p>
            <w:r>
              <w:rPr>
                <w:color w:val="2B2B2B"/>
                <w:sz w:val="20"/>
                <w:szCs w:val="20"/>
              </w:rPr>
              <w:t xml:space="preserve">Containerization</w:t>
            </w:r>
          </w:p>
        </w:tc>
        <w:tc>
          <w:tcPr>
            <w:tcW w:type="dxa" w:w="3200"/>
            <w:tcMar>
              <w:top w:type="dxa" w:w="100"/>
              <w:left w:type="dxa" w:w="120"/>
              <w:bottom w:type="dxa" w:w="100"/>
              <w:right w:type="dxa" w:w="120"/>
            </w:tcMar>
          </w:tcPr>
          <w:p>
            <w:r>
              <w:rPr>
                <w:color w:val="2B2B2B"/>
                <w:sz w:val="20"/>
                <w:szCs w:val="20"/>
              </w:rPr>
              <w:t xml:space="preserve">Docker</w:t>
            </w:r>
          </w:p>
        </w:tc>
        <w:tc>
          <w:tcPr>
            <w:tcW w:type="dxa" w:w="3460"/>
            <w:tcMar>
              <w:top w:type="dxa" w:w="100"/>
              <w:left w:type="dxa" w:w="120"/>
              <w:bottom w:type="dxa" w:w="100"/>
              <w:right w:type="dxa" w:w="120"/>
            </w:tcMar>
          </w:tcPr>
          <w:p>
            <w:r>
              <w:rPr>
                <w:color w:val="2B2B2B"/>
                <w:sz w:val="20"/>
                <w:szCs w:val="20"/>
              </w:rPr>
              <w:t xml:space="preserve">Consistent dev/staging/production parity</w:t>
            </w:r>
          </w:p>
        </w:tc>
      </w:tr>
      <w:tr>
        <w:tc>
          <w:tcPr>
            <w:tcW w:type="dxa" w:w="1800"/>
            <w:tcMar>
              <w:top w:type="dxa" w:w="100"/>
              <w:left w:type="dxa" w:w="120"/>
              <w:bottom w:type="dxa" w:w="100"/>
              <w:right w:type="dxa" w:w="120"/>
            </w:tcMar>
          </w:tcPr>
          <w:p>
            <w:r>
              <w:rPr>
                <w:color w:val="2B2B2B"/>
                <w:sz w:val="20"/>
                <w:szCs w:val="20"/>
              </w:rPr>
              <w:t xml:space="preserve">Hosting</w:t>
            </w:r>
          </w:p>
        </w:tc>
        <w:tc>
          <w:tcPr>
            <w:tcW w:type="dxa" w:w="3200"/>
            <w:tcMar>
              <w:top w:type="dxa" w:w="100"/>
              <w:left w:type="dxa" w:w="120"/>
              <w:bottom w:type="dxa" w:w="100"/>
              <w:right w:type="dxa" w:w="120"/>
            </w:tcMar>
          </w:tcPr>
          <w:p>
            <w:r>
              <w:rPr>
                <w:color w:val="2B2B2B"/>
                <w:sz w:val="20"/>
                <w:szCs w:val="20"/>
              </w:rPr>
              <w:t xml:space="preserve">VPC with load balancer, 2+ app instances</w:t>
            </w:r>
          </w:p>
        </w:tc>
        <w:tc>
          <w:tcPr>
            <w:tcW w:type="dxa" w:w="3460"/>
            <w:tcMar>
              <w:top w:type="dxa" w:w="100"/>
              <w:left w:type="dxa" w:w="120"/>
              <w:bottom w:type="dxa" w:w="100"/>
              <w:right w:type="dxa" w:w="120"/>
            </w:tcMar>
          </w:tcPr>
          <w:p>
            <w:r>
              <w:rPr>
                <w:color w:val="2B2B2B"/>
                <w:sz w:val="20"/>
                <w:szCs w:val="20"/>
              </w:rPr>
              <w:t xml:space="preserve">Extension of existing three-tier infrastructure knowledge</w:t>
            </w:r>
          </w:p>
        </w:tc>
      </w:tr>
      <w:tr>
        <w:tc>
          <w:tcPr>
            <w:tcW w:type="dxa" w:w="1800"/>
            <w:tcMar>
              <w:top w:type="dxa" w:w="100"/>
              <w:left w:type="dxa" w:w="120"/>
              <w:bottom w:type="dxa" w:w="100"/>
              <w:right w:type="dxa" w:w="120"/>
            </w:tcMar>
          </w:tcPr>
          <w:p>
            <w:r>
              <w:rPr>
                <w:color w:val="2B2B2B"/>
                <w:sz w:val="20"/>
                <w:szCs w:val="20"/>
              </w:rPr>
              <w:t xml:space="preserve">Scheduling</w:t>
            </w:r>
          </w:p>
        </w:tc>
        <w:tc>
          <w:tcPr>
            <w:tcW w:type="dxa" w:w="3200"/>
            <w:tcMar>
              <w:top w:type="dxa" w:w="100"/>
              <w:left w:type="dxa" w:w="120"/>
              <w:bottom w:type="dxa" w:w="100"/>
              <w:right w:type="dxa" w:w="120"/>
            </w:tcMar>
          </w:tcPr>
          <w:p>
            <w:r>
              <w:rPr>
                <w:color w:val="2B2B2B"/>
                <w:sz w:val="20"/>
                <w:szCs w:val="20"/>
              </w:rPr>
              <w:t xml:space="preserve">Cron / lightweight queue worker</w:t>
            </w:r>
          </w:p>
        </w:tc>
        <w:tc>
          <w:tcPr>
            <w:tcW w:type="dxa" w:w="3460"/>
            <w:tcMar>
              <w:top w:type="dxa" w:w="100"/>
              <w:left w:type="dxa" w:w="120"/>
              <w:bottom w:type="dxa" w:w="100"/>
              <w:right w:type="dxa" w:w="120"/>
            </w:tcMar>
          </w:tcPr>
          <w:p>
            <w:r>
              <w:rPr>
                <w:color w:val="2B2B2B"/>
                <w:sz w:val="20"/>
                <w:szCs w:val="20"/>
              </w:rPr>
              <w:t xml:space="preserve">Daily alert scan and materialized-view refresh</w:t>
            </w:r>
          </w:p>
        </w:tc>
      </w:tr>
    </w:tbl>
    <w:p>
      <w:pPr>
        <w:pStyle w:val="Heading1"/>
        <w:spacing w:after="160" w:before="360"/>
      </w:pPr>
      <w:r>
        <w:t xml:space="preserve">8. Roles &amp; Responsibilities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800"/>
        <w:gridCol w:w="5660"/>
      </w:tblGrid>
      <w:tr>
        <w:trPr>
          <w:tblHeader/>
        </w:trPr>
        <w:tc>
          <w:tcPr>
            <w:tcW w:type="dxa" w:w="2800"/>
            <w:shd w:fill="C8102E" w:val="clear"/>
            <w:tcMar>
              <w:top w:type="dxa" w:w="100"/>
              <w:left w:type="dxa" w:w="120"/>
              <w:bottom w:type="dxa" w:w="100"/>
              <w:right w:type="dxa" w:w="120"/>
            </w:tcMar>
          </w:tcPr>
          <w:p>
            <w:r>
              <w:rPr>
                <w:b/>
                <w:bCs/>
                <w:color w:val="FFFFFF"/>
                <w:sz w:val="20"/>
                <w:szCs w:val="20"/>
              </w:rPr>
              <w:t xml:space="preserve">Role</w:t>
            </w:r>
          </w:p>
        </w:tc>
        <w:tc>
          <w:tcPr>
            <w:tcW w:type="dxa" w:w="5660"/>
            <w:shd w:fill="C8102E" w:val="clear"/>
            <w:tcMar>
              <w:top w:type="dxa" w:w="100"/>
              <w:left w:type="dxa" w:w="120"/>
              <w:bottom w:type="dxa" w:w="100"/>
              <w:right w:type="dxa" w:w="120"/>
            </w:tcMar>
          </w:tcPr>
          <w:p>
            <w:r>
              <w:rPr>
                <w:b/>
                <w:bCs/>
                <w:color w:val="FFFFFF"/>
                <w:sz w:val="20"/>
                <w:szCs w:val="20"/>
              </w:rPr>
              <w:t xml:space="preserve">Responsibility</w:t>
            </w:r>
          </w:p>
        </w:tc>
      </w:tr>
      <w:tr>
        <w:tc>
          <w:tcPr>
            <w:tcW w:type="dxa" w:w="2800"/>
            <w:tcMar>
              <w:top w:type="dxa" w:w="100"/>
              <w:left w:type="dxa" w:w="120"/>
              <w:bottom w:type="dxa" w:w="100"/>
              <w:right w:type="dxa" w:w="120"/>
            </w:tcMar>
          </w:tcPr>
          <w:p>
            <w:r>
              <w:rPr>
                <w:color w:val="2B2B2B"/>
                <w:sz w:val="20"/>
                <w:szCs w:val="20"/>
              </w:rPr>
              <w:t xml:space="preserve">ER Manager</w:t>
            </w:r>
          </w:p>
        </w:tc>
        <w:tc>
          <w:tcPr>
            <w:tcW w:type="dxa" w:w="5660"/>
            <w:tcMar>
              <w:top w:type="dxa" w:w="100"/>
              <w:left w:type="dxa" w:w="120"/>
              <w:bottom w:type="dxa" w:w="100"/>
              <w:right w:type="dxa" w:w="120"/>
            </w:tcMar>
          </w:tcPr>
          <w:p>
            <w:r>
              <w:rPr>
                <w:color w:val="2B2B2B"/>
                <w:sz w:val="20"/>
                <w:szCs w:val="20"/>
              </w:rPr>
              <w:t xml:space="preserve">Requirements owner, case data steward, primary system user</w:t>
            </w:r>
          </w:p>
        </w:tc>
      </w:tr>
      <w:tr>
        <w:tc>
          <w:tcPr>
            <w:tcW w:type="dxa" w:w="2800"/>
            <w:tcMar>
              <w:top w:type="dxa" w:w="100"/>
              <w:left w:type="dxa" w:w="120"/>
              <w:bottom w:type="dxa" w:w="100"/>
              <w:right w:type="dxa" w:w="120"/>
            </w:tcMar>
          </w:tcPr>
          <w:p>
            <w:r>
              <w:rPr>
                <w:color w:val="2B2B2B"/>
                <w:sz w:val="20"/>
                <w:szCs w:val="20"/>
              </w:rPr>
              <w:t xml:space="preserve">HR Director</w:t>
            </w:r>
          </w:p>
        </w:tc>
        <w:tc>
          <w:tcPr>
            <w:tcW w:type="dxa" w:w="5660"/>
            <w:tcMar>
              <w:top w:type="dxa" w:w="100"/>
              <w:left w:type="dxa" w:w="120"/>
              <w:bottom w:type="dxa" w:w="100"/>
              <w:right w:type="dxa" w:w="120"/>
            </w:tcMar>
          </w:tcPr>
          <w:p>
            <w:r>
              <w:rPr>
                <w:color w:val="2B2B2B"/>
                <w:sz w:val="20"/>
                <w:szCs w:val="20"/>
              </w:rPr>
              <w:t xml:space="preserve">Sign-off on SLA definitions, quarterly report recipient</w:t>
            </w:r>
          </w:p>
        </w:tc>
      </w:tr>
      <w:tr>
        <w:tc>
          <w:tcPr>
            <w:tcW w:type="dxa" w:w="2800"/>
            <w:tcMar>
              <w:top w:type="dxa" w:w="100"/>
              <w:left w:type="dxa" w:w="120"/>
              <w:bottom w:type="dxa" w:w="100"/>
              <w:right w:type="dxa" w:w="120"/>
            </w:tcMar>
          </w:tcPr>
          <w:p>
            <w:r>
              <w:rPr>
                <w:color w:val="2B2B2B"/>
                <w:sz w:val="20"/>
                <w:szCs w:val="20"/>
              </w:rPr>
              <w:t xml:space="preserve">Line Managers</w:t>
            </w:r>
          </w:p>
        </w:tc>
        <w:tc>
          <w:tcPr>
            <w:tcW w:type="dxa" w:w="5660"/>
            <w:tcMar>
              <w:top w:type="dxa" w:w="100"/>
              <w:left w:type="dxa" w:w="120"/>
              <w:bottom w:type="dxa" w:w="100"/>
              <w:right w:type="dxa" w:w="120"/>
            </w:tcMar>
          </w:tcPr>
          <w:p>
            <w:r>
              <w:rPr>
                <w:color w:val="2B2B2B"/>
                <w:sz w:val="20"/>
                <w:szCs w:val="20"/>
              </w:rPr>
              <w:t xml:space="preserve">Case updates within their department/location, training completion input</w:t>
            </w:r>
          </w:p>
        </w:tc>
      </w:tr>
      <w:tr>
        <w:tc>
          <w:tcPr>
            <w:tcW w:type="dxa" w:w="2800"/>
            <w:tcMar>
              <w:top w:type="dxa" w:w="100"/>
              <w:left w:type="dxa" w:w="120"/>
              <w:bottom w:type="dxa" w:w="100"/>
              <w:right w:type="dxa" w:w="120"/>
            </w:tcMar>
          </w:tcPr>
          <w:p>
            <w:r>
              <w:rPr>
                <w:color w:val="2B2B2B"/>
                <w:sz w:val="20"/>
                <w:szCs w:val="20"/>
              </w:rPr>
              <w:t xml:space="preserve">Project Lead / Developer</w:t>
            </w:r>
          </w:p>
        </w:tc>
        <w:tc>
          <w:tcPr>
            <w:tcW w:type="dxa" w:w="5660"/>
            <w:tcMar>
              <w:top w:type="dxa" w:w="100"/>
              <w:left w:type="dxa" w:w="120"/>
              <w:bottom w:type="dxa" w:w="100"/>
              <w:right w:type="dxa" w:w="120"/>
            </w:tcMar>
          </w:tcPr>
          <w:p>
            <w:r>
              <w:rPr>
                <w:color w:val="2B2B2B"/>
                <w:sz w:val="20"/>
                <w:szCs w:val="20"/>
              </w:rPr>
              <w:t xml:space="preserve">Build, test, deploy, and maintain the system across all phases</w:t>
            </w:r>
          </w:p>
        </w:tc>
      </w:tr>
    </w:tbl>
    <w:p>
      <w:pPr>
        <w:pStyle w:val="Heading1"/>
        <w:spacing w:after="160" w:before="360"/>
      </w:pPr>
      <w:r>
        <w:t xml:space="preserve">9. Definition of Done</w:t>
      </w:r>
    </w:p>
    <w:p>
      <w:pPr>
        <w:pStyle w:val="ListParagraph"/>
        <w:numPr>
          <w:ilvl w:val="0"/>
          <w:numId w:val="2"/>
        </w:numPr>
        <w:spacing w:after="60"/>
      </w:pPr>
      <w:r>
        <w:rPr>
          <w:color w:val="2B2B2B"/>
          <w:sz w:val="21"/>
          <w:szCs w:val="21"/>
        </w:rPr>
        <w:t xml:space="preserve">SLA and workflow rules signed off in writing by ER/HR stakeholders (Phase 0 output).</w:t>
      </w:r>
    </w:p>
    <w:p>
      <w:pPr>
        <w:pStyle w:val="ListParagraph"/>
        <w:numPr>
          <w:ilvl w:val="0"/>
          <w:numId w:val="2"/>
        </w:numPr>
        <w:spacing w:after="60"/>
      </w:pPr>
      <w:r>
        <w:rPr>
          <w:color w:val="2B2B2B"/>
          <w:sz w:val="21"/>
          <w:szCs w:val="21"/>
        </w:rPr>
        <w:t xml:space="preserve">User acceptance testing completed with real ER/HR staff, not internal QA alone.</w:t>
      </w:r>
    </w:p>
    <w:p>
      <w:pPr>
        <w:pStyle w:val="ListParagraph"/>
        <w:numPr>
          <w:ilvl w:val="0"/>
          <w:numId w:val="2"/>
        </w:numPr>
        <w:spacing w:after="60"/>
      </w:pPr>
      <w:r>
        <w:rPr>
          <w:color w:val="2B2B2B"/>
          <w:sz w:val="21"/>
          <w:szCs w:val="21"/>
        </w:rPr>
        <w:t xml:space="preserve">All case types, dashboard, alerts, and quarterly report live and verified against real data.</w:t>
      </w:r>
    </w:p>
    <w:p>
      <w:pPr>
        <w:pStyle w:val="ListParagraph"/>
        <w:numPr>
          <w:ilvl w:val="0"/>
          <w:numId w:val="2"/>
        </w:numPr>
        <w:spacing w:after="60"/>
      </w:pPr>
      <w:r>
        <w:rPr>
          <w:color w:val="2B2B2B"/>
          <w:sz w:val="21"/>
          <w:szCs w:val="21"/>
        </w:rPr>
        <w:t xml:space="preserve">Documented runbook covering outage response, on-call ownership, and backup restoration.</w:t>
      </w:r>
    </w:p>
    <w:p>
      <w:pPr>
        <w:pStyle w:val="ListParagraph"/>
        <w:numPr>
          <w:ilvl w:val="0"/>
          <w:numId w:val="2"/>
        </w:numPr>
        <w:spacing w:after="60"/>
      </w:pPr>
      <w:r>
        <w:rPr>
          <w:color w:val="2B2B2B"/>
          <w:sz w:val="21"/>
          <w:szCs w:val="21"/>
        </w:rPr>
        <w:t xml:space="preserve">Post-launch support and maintenance plan agreed, since usage-driven issues surface only after real adoption.</w:t>
      </w:r>
    </w:p>
    <w:p>
      <w:pPr>
        <w:pStyle w:val="Heading1"/>
        <w:spacing w:after="160" w:before="360"/>
      </w:pPr>
      <w:r>
        <w:t xml:space="preserve">10. Key Risks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200"/>
        <w:gridCol w:w="5260"/>
      </w:tblGrid>
      <w:tr>
        <w:trPr>
          <w:tblHeader/>
        </w:trPr>
        <w:tc>
          <w:tcPr>
            <w:tcW w:type="dxa" w:w="3200"/>
            <w:shd w:fill="C8102E" w:val="clear"/>
            <w:tcMar>
              <w:top w:type="dxa" w:w="100"/>
              <w:left w:type="dxa" w:w="120"/>
              <w:bottom w:type="dxa" w:w="100"/>
              <w:right w:type="dxa" w:w="120"/>
            </w:tcMar>
          </w:tcPr>
          <w:p>
            <w:r>
              <w:rPr>
                <w:b/>
                <w:bCs/>
                <w:color w:val="FFFFFF"/>
                <w:sz w:val="20"/>
                <w:szCs w:val="20"/>
              </w:rPr>
              <w:t xml:space="preserve">Risk</w:t>
            </w:r>
          </w:p>
        </w:tc>
        <w:tc>
          <w:tcPr>
            <w:tcW w:type="dxa" w:w="5260"/>
            <w:shd w:fill="C8102E" w:val="clear"/>
            <w:tcMar>
              <w:top w:type="dxa" w:w="100"/>
              <w:left w:type="dxa" w:w="120"/>
              <w:bottom w:type="dxa" w:w="100"/>
              <w:right w:type="dxa" w:w="120"/>
            </w:tcMar>
          </w:tcPr>
          <w:p>
            <w:r>
              <w:rPr>
                <w:b/>
                <w:bCs/>
                <w:color w:val="FFFFFF"/>
                <w:sz w:val="20"/>
                <w:szCs w:val="20"/>
              </w:rPr>
              <w:t xml:space="preserve">Mitigation</w:t>
            </w:r>
          </w:p>
        </w:tc>
      </w:tr>
      <w:tr>
        <w:tc>
          <w:tcPr>
            <w:tcW w:type="dxa" w:w="3200"/>
            <w:tcMar>
              <w:top w:type="dxa" w:w="100"/>
              <w:left w:type="dxa" w:w="120"/>
              <w:bottom w:type="dxa" w:w="100"/>
              <w:right w:type="dxa" w:w="120"/>
            </w:tcMar>
          </w:tcPr>
          <w:p>
            <w:r>
              <w:rPr>
                <w:color w:val="2B2B2B"/>
                <w:sz w:val="20"/>
                <w:szCs w:val="20"/>
              </w:rPr>
              <w:t xml:space="preserve">SLA/workflow rules not agreed before build starts</w:t>
            </w:r>
          </w:p>
        </w:tc>
        <w:tc>
          <w:tcPr>
            <w:tcW w:type="dxa" w:w="5260"/>
            <w:tcMar>
              <w:top w:type="dxa" w:w="100"/>
              <w:left w:type="dxa" w:w="120"/>
              <w:bottom w:type="dxa" w:w="100"/>
              <w:right w:type="dxa" w:w="120"/>
            </w:tcMar>
          </w:tcPr>
          <w:p>
            <w:r>
              <w:rPr>
                <w:color w:val="2B2B2B"/>
                <w:sz w:val="20"/>
                <w:szCs w:val="20"/>
              </w:rPr>
              <w:t xml:space="preserve">Phase 0 sign-off is a hard gate before Phase 1 begins</w:t>
            </w:r>
          </w:p>
        </w:tc>
      </w:tr>
      <w:tr>
        <w:tc>
          <w:tcPr>
            <w:tcW w:type="dxa" w:w="3200"/>
            <w:tcMar>
              <w:top w:type="dxa" w:w="100"/>
              <w:left w:type="dxa" w:w="120"/>
              <w:bottom w:type="dxa" w:w="100"/>
              <w:right w:type="dxa" w:w="120"/>
            </w:tcMar>
          </w:tcPr>
          <w:p>
            <w:r>
              <w:rPr>
                <w:color w:val="2B2B2B"/>
                <w:sz w:val="20"/>
                <w:szCs w:val="20"/>
              </w:rPr>
              <w:t xml:space="preserve">Outstation locations have unreliable internet access</w:t>
            </w:r>
          </w:p>
        </w:tc>
        <w:tc>
          <w:tcPr>
            <w:tcW w:type="dxa" w:w="5260"/>
            <w:tcMar>
              <w:top w:type="dxa" w:w="100"/>
              <w:left w:type="dxa" w:w="120"/>
              <w:bottom w:type="dxa" w:w="100"/>
              <w:right w:type="dxa" w:w="120"/>
            </w:tcMar>
          </w:tcPr>
          <w:p>
            <w:r>
              <w:rPr>
                <w:color w:val="2B2B2B"/>
                <w:sz w:val="20"/>
                <w:szCs w:val="20"/>
              </w:rPr>
              <w:t xml:space="preserve">Confirm connectivity during discovery; consider lightweight/offline-tolerant UI if needed</w:t>
            </w:r>
          </w:p>
        </w:tc>
      </w:tr>
      <w:tr>
        <w:tc>
          <w:tcPr>
            <w:tcW w:type="dxa" w:w="3200"/>
            <w:tcMar>
              <w:top w:type="dxa" w:w="100"/>
              <w:left w:type="dxa" w:w="120"/>
              <w:bottom w:type="dxa" w:w="100"/>
              <w:right w:type="dxa" w:w="120"/>
            </w:tcMar>
          </w:tcPr>
          <w:p>
            <w:r>
              <w:rPr>
                <w:color w:val="2B2B2B"/>
                <w:sz w:val="20"/>
                <w:szCs w:val="20"/>
              </w:rPr>
              <w:t xml:space="preserve">Low adoption if the tool adds work rather than removing it</w:t>
            </w:r>
          </w:p>
        </w:tc>
        <w:tc>
          <w:tcPr>
            <w:tcW w:type="dxa" w:w="5260"/>
            <w:tcMar>
              <w:top w:type="dxa" w:w="100"/>
              <w:left w:type="dxa" w:w="120"/>
              <w:bottom w:type="dxa" w:w="100"/>
              <w:right w:type="dxa" w:w="120"/>
            </w:tcMar>
          </w:tcPr>
          <w:p>
            <w:r>
              <w:rPr>
                <w:color w:val="2B2B2B"/>
                <w:sz w:val="20"/>
                <w:szCs w:val="20"/>
              </w:rPr>
              <w:t xml:space="preserve">Quarterly report and alerts are built as automatic by-products of daily data entry, not separate tasks</w:t>
            </w:r>
          </w:p>
        </w:tc>
      </w:tr>
      <w:tr>
        <w:tc>
          <w:tcPr>
            <w:tcW w:type="dxa" w:w="3200"/>
            <w:tcMar>
              <w:top w:type="dxa" w:w="100"/>
              <w:left w:type="dxa" w:w="120"/>
              <w:bottom w:type="dxa" w:w="100"/>
              <w:right w:type="dxa" w:w="120"/>
            </w:tcMar>
          </w:tcPr>
          <w:p>
            <w:r>
              <w:rPr>
                <w:color w:val="2B2B2B"/>
                <w:sz w:val="20"/>
                <w:szCs w:val="20"/>
              </w:rPr>
              <w:t xml:space="preserve">Sensitive data exposure</w:t>
            </w:r>
          </w:p>
        </w:tc>
        <w:tc>
          <w:tcPr>
            <w:tcW w:type="dxa" w:w="5260"/>
            <w:tcMar>
              <w:top w:type="dxa" w:w="100"/>
              <w:left w:type="dxa" w:w="120"/>
              <w:bottom w:type="dxa" w:w="100"/>
              <w:right w:type="dxa" w:w="120"/>
            </w:tcMar>
          </w:tcPr>
          <w:p>
            <w:r>
              <w:rPr>
                <w:color w:val="2B2B2B"/>
                <w:sz w:val="20"/>
                <w:szCs w:val="20"/>
              </w:rPr>
              <w:t xml:space="preserve">Role-based access and audit logging built in from Phase 1, not retrofitted later</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2026-08-17T10:19:07.511Z</dcterms:created>
  <dcterms:modified xsi:type="dcterms:W3CDTF">2026-08-17T10:19:07.512Z</dcterms:modified>
</cp:coreProperties>
</file>

<file path=docProps/custom.xml><?xml version="1.0" encoding="utf-8"?>
<Properties xmlns="http://schemas.openxmlformats.org/officeDocument/2006/custom-properties" xmlns:vt="http://schemas.openxmlformats.org/officeDocument/2006/docPropsVTypes"/>
</file>