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480" w:line="360" w:lineRule="auto"/>
        <w:jc w:val="center"/>
      </w:pPr>
      <w:r>
        <w:rPr>
          <w:rFonts w:ascii="方正小标宋体" w:hAnsi="方正小标宋体" w:eastAsia="方正小标宋体"/>
          <w:b/>
          <w:sz w:val="52"/>
        </w:rPr>
        <w:t>关于蜂蜜松露甜蛋白（Honey Truffle Sweet Protein）甜味剂市场的调研报告</w:t>
      </w:r>
    </w:p>
    <w:p>
      <w:pPr>
        <w:spacing w:before="120" w:after="120"/>
        <w:jc w:val="center"/>
      </w:pPr>
      <w:r>
        <w:rPr>
          <w:rFonts w:ascii="方正小标宋体" w:hAnsi="方正小标宋体" w:eastAsia="方正小标宋体"/>
          <w:sz w:val="20"/>
        </w:rPr>
        <w:t>────────────────────────────────────────────────────────────</w:t>
      </w:r>
    </w:p>
    <w:p>
      <w:pPr>
        <w:spacing w:before="240" w:after="120"/>
        <w:jc w:val="center"/>
      </w:pPr>
      <w:r>
        <w:rPr>
          <w:rFonts w:ascii="仿宋_GB2312" w:hAnsi="仿宋_GB2312" w:eastAsia="仿宋_GB2312"/>
          <w:sz w:val="32"/>
        </w:rPr>
        <w:t>调研工作组</w:t>
      </w:r>
    </w:p>
    <w:p>
      <w:pPr>
        <w:spacing w:before="120" w:after="120"/>
        <w:jc w:val="center"/>
      </w:pPr>
      <w:r>
        <w:rPr>
          <w:rFonts w:ascii="仿宋_GB2312" w:hAnsi="仿宋_GB2312" w:eastAsia="仿宋_GB2312"/>
          <w:sz w:val="32"/>
        </w:rPr>
        <w:t>2026年04月26日</w:t>
      </w:r>
    </w:p>
    <w:p>
      <w:r>
        <w:br w:type="page"/>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sz w:val="32"/>
        </w:rPr>
        <w:t>title: 关于蜂蜜松露甜蛋白（Honey Truffle Sweet Protein）甜味剂市场的调研报告</w:t>
      </w:r>
    </w:p>
    <w:p>
      <w:pPr>
        <w:spacing w:line="360" w:lineRule="auto"/>
        <w:ind w:firstLine="420"/>
        <w:jc w:val="both"/>
      </w:pPr>
      <w:r>
        <w:rPr>
          <w:rFonts w:ascii="仿宋_GB2312" w:hAnsi="仿宋_GB2312" w:eastAsia="仿宋_GB2312"/>
          <w:sz w:val="32"/>
        </w:rPr>
        <w:t>author: 调研工作组</w:t>
      </w:r>
    </w:p>
    <w:p>
      <w:pPr>
        <w:spacing w:line="360" w:lineRule="auto"/>
        <w:ind w:firstLine="420"/>
        <w:jc w:val="both"/>
      </w:pPr>
      <w:r>
        <w:rPr>
          <w:rFonts w:ascii="仿宋_GB2312" w:hAnsi="仿宋_GB2312" w:eastAsia="仿宋_GB2312"/>
          <w:sz w:val="32"/>
        </w:rPr>
        <w:t>date: 2026年4月26日</w:t>
      </w:r>
    </w:p>
    <w:p>
      <w:pPr>
        <w:spacing w:before="120" w:after="120"/>
        <w:jc w:val="center"/>
      </w:pPr>
      <w:r>
        <w:rPr>
          <w:rFonts w:ascii="仿宋_GB2312" w:hAnsi="仿宋_GB2312"/>
          <w:sz w:val="20"/>
        </w:rPr>
        <w:t>────────────────────────────────────────</w:t>
      </w:r>
    </w:p>
    <w:p>
      <w:pPr>
        <w:spacing w:line="360" w:lineRule="auto" w:before="240" w:after="120"/>
        <w:jc w:val="center"/>
      </w:pPr>
      <w:r>
        <w:rPr>
          <w:rFonts w:ascii="方正小标宋体" w:hAnsi="方正小标宋体" w:eastAsia="方正小标宋体"/>
          <w:sz w:val="44"/>
        </w:rPr>
        <w:t>关于蜂蜜松露甜蛋白（Honey Truffle Sweet Protein）甜味剂市场的调研报告</w:t>
      </w:r>
    </w:p>
    <w:p>
      <w:pPr>
        <w:spacing w:line="360" w:lineRule="auto"/>
        <w:ind w:firstLine="420"/>
        <w:jc w:val="both"/>
      </w:pPr>
      <w:r>
        <w:rPr>
          <w:rFonts w:ascii="仿宋_GB2312" w:hAnsi="仿宋_GB2312" w:eastAsia="仿宋_GB2312"/>
          <w:b/>
          <w:sz w:val="32"/>
        </w:rPr>
        <w:t>调研发〔2026〕1号</w:t>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sz w:val="32"/>
        </w:rPr>
        <w:t>各有关单位：</w:t>
      </w:r>
    </w:p>
    <w:p>
      <w:pPr>
        <w:spacing w:line="360" w:lineRule="auto"/>
        <w:ind w:firstLine="420"/>
        <w:jc w:val="both"/>
      </w:pPr>
      <w:r>
        <w:rPr>
          <w:rFonts w:ascii="仿宋_GB2312" w:hAnsi="仿宋_GB2312" w:eastAsia="仿宋_GB2312"/>
          <w:sz w:val="32"/>
        </w:rPr>
        <w:t>蜂蜜松露甜蛋白（Honey Truffle Sweet Protein，以下简称HTSP）是一种源自匈牙利蜂蜜松露（</w:t>
      </w:r>
      <w:r>
        <w:rPr>
          <w:rFonts w:ascii="仿宋_GB2312" w:hAnsi="仿宋_GB2312" w:eastAsia="仿宋_GB2312"/>
          <w:i/>
          <w:sz w:val="32"/>
        </w:rPr>
        <w:t>Mattirolomyces terfezioides</w:t>
      </w:r>
      <w:r>
        <w:rPr>
          <w:rFonts w:ascii="仿宋_GB2312" w:hAnsi="仿宋_GB2312" w:eastAsia="仿宋_GB2312"/>
          <w:sz w:val="32"/>
        </w:rPr>
        <w:t>）的新型天然甜味蛋白，由美国MycoTechnology公司采用精密发酵技术规模化生产，商业化品牌名为"Zukora"。该产品比蔗糖甜1000至2500倍，热量极低，于2026年3月获得美国自确认GRAS（一般公认安全）身份，正式进入美国市场。</w:t>
      </w:r>
    </w:p>
    <w:p>
      <w:pPr>
        <w:spacing w:line="360" w:lineRule="auto"/>
        <w:ind w:firstLine="420"/>
        <w:jc w:val="both"/>
      </w:pPr>
      <w:r>
        <w:rPr>
          <w:rFonts w:ascii="仿宋_GB2312" w:hAnsi="仿宋_GB2312" w:eastAsia="仿宋_GB2312"/>
          <w:sz w:val="32"/>
        </w:rPr>
        <w:t>为深入了解该产品的技术路线、市场竞争格局、发展趋势及潜在影响，调研工作组通过文献检索、网络调研、数据分析，对HTSP甜味剂市场进行了系统调研，现将有关情况报告如下。</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一、产品基本概况</w:t>
      </w:r>
    </w:p>
    <w:p>
      <w:pPr>
        <w:spacing w:line="360" w:lineRule="auto" w:before="240" w:after="120"/>
        <w:ind w:firstLine="420"/>
        <w:jc w:val="left"/>
      </w:pPr>
      <w:r>
        <w:rPr>
          <w:rFonts w:ascii="楷体" w:hAnsi="楷体" w:eastAsia="楷体"/>
          <w:b/>
          <w:sz w:val="32"/>
        </w:rPr>
        <w:t>（一）产品定义与特性</w:t>
      </w:r>
    </w:p>
    <w:p>
      <w:pPr>
        <w:spacing w:line="360" w:lineRule="auto"/>
        <w:ind w:firstLine="420"/>
        <w:jc w:val="both"/>
      </w:pPr>
      <w:r>
        <w:rPr>
          <w:rFonts w:ascii="仿宋_GB2312" w:hAnsi="仿宋_GB2312" w:eastAsia="仿宋_GB2312"/>
          <w:sz w:val="32"/>
        </w:rPr>
        <w:t>蜂蜜松露甜蛋白是一种从稀有蘑菇——蜂蜜松露中分离出的天然甜味蛋白质。其核心属性如下：</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来源</w:t>
      </w:r>
      <w:r>
        <w:rPr>
          <w:rFonts w:ascii="仿宋_GB2312" w:hAnsi="仿宋_GB2312" w:eastAsia="仿宋_GB2312"/>
          <w:sz w:val="32"/>
        </w:rPr>
        <w:t>：蜂蜜松露（</w:t>
      </w:r>
      <w:r>
        <w:rPr>
          <w:rFonts w:ascii="仿宋_GB2312" w:hAnsi="仿宋_GB2312" w:eastAsia="仿宋_GB2312"/>
          <w:i/>
          <w:sz w:val="32"/>
        </w:rPr>
        <w:t>Mattirolomyces terfezioides</w:t>
      </w:r>
      <w:r>
        <w:rPr>
          <w:rFonts w:ascii="仿宋_GB2312" w:hAnsi="仿宋_GB2312" w:eastAsia="仿宋_GB2312"/>
          <w:sz w:val="32"/>
        </w:rPr>
        <w:t>），原产于匈牙利等地，已有悠久的食用历史【附件7】。</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有效成分</w:t>
      </w:r>
      <w:r>
        <w:rPr>
          <w:rFonts w:ascii="仿宋_GB2312" w:hAnsi="仿宋_GB2312" w:eastAsia="仿宋_GB2312"/>
          <w:sz w:val="32"/>
        </w:rPr>
        <w:t>：HT-AC（Honey Truffle Active Compound），由121个氨基酸组成的甜味蛋白质，喷雾干燥粉末中总蛋白含量约50%【附件3】。</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甜度</w:t>
      </w:r>
      <w:r>
        <w:rPr>
          <w:rFonts w:ascii="仿宋_GB2312" w:hAnsi="仿宋_GB2312" w:eastAsia="仿宋_GB2312"/>
          <w:sz w:val="32"/>
        </w:rPr>
        <w:t>：根据应用场景不同，比蔗糖甜1000至2500倍【附件2】【附件4】。</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热量</w:t>
      </w:r>
      <w:r>
        <w:rPr>
          <w:rFonts w:ascii="仿宋_GB2312" w:hAnsi="仿宋_GB2312" w:eastAsia="仿宋_GB2312"/>
          <w:sz w:val="32"/>
        </w:rPr>
        <w:t>：作为非营养性高强度甜味剂，几乎不贡献热量【附件1】。</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b/>
          <w:sz w:val="32"/>
        </w:rPr>
        <w:t>口感</w:t>
      </w:r>
      <w:r>
        <w:rPr>
          <w:rFonts w:ascii="仿宋_GB2312" w:hAnsi="仿宋_GB2312" w:eastAsia="仿宋_GB2312"/>
          <w:sz w:val="32"/>
        </w:rPr>
        <w:t>：具有类似蔗糖的纯净甜味，无部分天然甜味剂（如甜菊糖）常见的苦涩余味【附件4】。</w:t>
      </w:r>
    </w:p>
    <w:p>
      <w:pPr>
        <w:spacing w:line="360" w:lineRule="auto" w:before="40" w:after="40"/>
        <w:ind w:left="567" w:hanging="283"/>
      </w:pPr>
      <w:r>
        <w:rPr>
          <w:rFonts w:ascii="仿宋_GB2312" w:hAnsi="仿宋_GB2312" w:eastAsia="仿宋_GB2312"/>
          <w:sz w:val="32"/>
        </w:rPr>
        <w:t xml:space="preserve">6. </w:t>
      </w:r>
      <w:r>
        <w:rPr>
          <w:rFonts w:ascii="仿宋_GB2312" w:hAnsi="仿宋_GB2312" w:eastAsia="仿宋_GB2312"/>
          <w:b/>
          <w:sz w:val="32"/>
        </w:rPr>
        <w:t>安全性</w:t>
      </w:r>
      <w:r>
        <w:rPr>
          <w:rFonts w:ascii="仿宋_GB2312" w:hAnsi="仿宋_GB2312" w:eastAsia="仿宋_GB2312"/>
          <w:sz w:val="32"/>
        </w:rPr>
        <w:t>：经细菌回复突变试验、哺乳动物细胞微核试验及13周口服重复剂量毒性研究（大鼠）验证，无毒、不致敏、可被人体胃肠道完全消化。未观察到有害作用的剂量（NOAEL）为5400 mg/kg/day（相当于HT-AC 1500 mg/kg/day）【附件3】。</w:t>
      </w:r>
    </w:p>
    <w:p>
      <w:pPr>
        <w:spacing w:line="360" w:lineRule="auto" w:before="240" w:after="120"/>
        <w:ind w:firstLine="420"/>
        <w:jc w:val="left"/>
      </w:pPr>
      <w:r>
        <w:rPr>
          <w:rFonts w:ascii="楷体" w:hAnsi="楷体" w:eastAsia="楷体"/>
          <w:b/>
          <w:sz w:val="32"/>
        </w:rPr>
        <w:t>（二）开发历程</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时间节点</w:t>
            </w:r>
          </w:p>
        </w:tc>
        <w:tc>
          <w:tcPr>
            <w:tcW w:type="dxa" w:w="4589"/>
            <w:shd w:fill="000000"/>
            <w:vAlign w:val="center"/>
          </w:tcPr>
          <w:p>
            <w:pPr>
              <w:spacing w:before="60" w:after="60"/>
              <w:jc w:val="center"/>
            </w:pPr>
            <w:r>
              <w:rPr>
                <w:rFonts w:ascii="仿宋_GB2312" w:hAnsi="仿宋_GB2312" w:eastAsia="仿宋_GB2312"/>
                <w:b/>
                <w:color w:val="FFFFFF"/>
                <w:sz w:val="28"/>
              </w:rPr>
              <w:t>里程碑事件</w:t>
            </w:r>
          </w:p>
        </w:tc>
      </w:tr>
      <w:tr>
        <w:tc>
          <w:tcPr>
            <w:tcW w:type="dxa" w:w="4589"/>
            <w:vAlign w:val="center"/>
          </w:tcPr>
          <w:p>
            <w:pPr>
              <w:spacing w:before="60" w:after="60"/>
              <w:jc w:val="center"/>
            </w:pPr>
            <w:r>
              <w:rPr>
                <w:rFonts w:ascii="仿宋_GB2312" w:hAnsi="仿宋_GB2312" w:eastAsia="仿宋_GB2312"/>
                <w:sz w:val="28"/>
              </w:rPr>
              <w:t>2013年</w:t>
            </w:r>
          </w:p>
        </w:tc>
        <w:tc>
          <w:tcPr>
            <w:tcW w:type="dxa" w:w="4589"/>
            <w:vAlign w:val="center"/>
          </w:tcPr>
          <w:p>
            <w:pPr>
              <w:spacing w:before="60" w:after="60"/>
              <w:jc w:val="center"/>
            </w:pPr>
            <w:r>
              <w:rPr>
                <w:rFonts w:ascii="仿宋_GB2312" w:hAnsi="仿宋_GB2312" w:eastAsia="仿宋_GB2312"/>
                <w:sz w:val="28"/>
              </w:rPr>
              <w:t>MycoTechnology公司在美国科罗拉多州成立【附件2】</w:t>
            </w:r>
          </w:p>
        </w:tc>
      </w:tr>
      <w:tr>
        <w:tc>
          <w:tcPr>
            <w:tcW w:type="dxa" w:w="4589"/>
            <w:vAlign w:val="center"/>
            <w:shd w:fill="F5F5F5"/>
          </w:tcPr>
          <w:p>
            <w:pPr>
              <w:spacing w:before="60" w:after="60"/>
              <w:jc w:val="center"/>
            </w:pPr>
            <w:r>
              <w:rPr>
                <w:rFonts w:ascii="仿宋_GB2312" w:hAnsi="仿宋_GB2312" w:eastAsia="仿宋_GB2312"/>
                <w:sz w:val="28"/>
              </w:rPr>
              <w:t>2023年7月</w:t>
            </w:r>
          </w:p>
        </w:tc>
        <w:tc>
          <w:tcPr>
            <w:tcW w:type="dxa" w:w="4589"/>
            <w:vAlign w:val="center"/>
            <w:shd w:fill="F5F5F5"/>
          </w:tcPr>
          <w:p>
            <w:pPr>
              <w:spacing w:before="60" w:after="60"/>
              <w:jc w:val="center"/>
            </w:pPr>
            <w:r>
              <w:rPr>
                <w:rFonts w:ascii="仿宋_GB2312" w:hAnsi="仿宋_GB2312" w:eastAsia="仿宋_GB2312"/>
                <w:sz w:val="28"/>
              </w:rPr>
              <w:t>公司宣布从蜂蜜松露中发现天然味蛋白质【附件4】</w:t>
            </w:r>
          </w:p>
        </w:tc>
      </w:tr>
      <w:tr>
        <w:tc>
          <w:tcPr>
            <w:tcW w:type="dxa" w:w="4589"/>
            <w:vAlign w:val="center"/>
          </w:tcPr>
          <w:p>
            <w:pPr>
              <w:spacing w:before="60" w:after="60"/>
              <w:jc w:val="center"/>
            </w:pPr>
            <w:r>
              <w:rPr>
                <w:rFonts w:ascii="仿宋_GB2312" w:hAnsi="仿宋_GB2312" w:eastAsia="仿宋_GB2312"/>
                <w:sz w:val="28"/>
              </w:rPr>
              <w:t>2024年4月</w:t>
            </w:r>
          </w:p>
        </w:tc>
        <w:tc>
          <w:tcPr>
            <w:tcW w:type="dxa" w:w="4589"/>
            <w:vAlign w:val="center"/>
          </w:tcPr>
          <w:p>
            <w:pPr>
              <w:spacing w:before="60" w:after="60"/>
              <w:jc w:val="center"/>
            </w:pPr>
            <w:r>
              <w:rPr>
                <w:rFonts w:ascii="仿宋_GB2312" w:hAnsi="仿宋_GB2312" w:eastAsia="仿宋_GB2312"/>
                <w:sz w:val="28"/>
              </w:rPr>
              <w:t>将生产规模从实验室扩大至3000升发酵罐，完成安全性和消化性验证【附件2】【附件7】</w:t>
            </w:r>
          </w:p>
        </w:tc>
      </w:tr>
      <w:tr>
        <w:tc>
          <w:tcPr>
            <w:tcW w:type="dxa" w:w="4589"/>
            <w:vAlign w:val="center"/>
            <w:shd w:fill="F5F5F5"/>
          </w:tcPr>
          <w:p>
            <w:pPr>
              <w:spacing w:before="60" w:after="60"/>
              <w:jc w:val="center"/>
            </w:pPr>
            <w:r>
              <w:rPr>
                <w:rFonts w:ascii="仿宋_GB2312" w:hAnsi="仿宋_GB2312" w:eastAsia="仿宋_GB2312"/>
                <w:sz w:val="28"/>
              </w:rPr>
              <w:t>2024年</w:t>
            </w:r>
          </w:p>
        </w:tc>
        <w:tc>
          <w:tcPr>
            <w:tcW w:type="dxa" w:w="4589"/>
            <w:vAlign w:val="center"/>
            <w:shd w:fill="F5F5F5"/>
          </w:tcPr>
          <w:p>
            <w:pPr>
              <w:spacing w:before="60" w:after="60"/>
              <w:jc w:val="center"/>
            </w:pPr>
            <w:r>
              <w:rPr>
                <w:rFonts w:ascii="仿宋_GB2312" w:hAnsi="仿宋_GB2312" w:eastAsia="仿宋_GB2312"/>
                <w:sz w:val="28"/>
              </w:rPr>
              <w:t>提交美国FDA GRAS通知【附件5】</w:t>
            </w:r>
          </w:p>
        </w:tc>
      </w:tr>
      <w:tr>
        <w:tc>
          <w:tcPr>
            <w:tcW w:type="dxa" w:w="4589"/>
            <w:vAlign w:val="center"/>
          </w:tcPr>
          <w:p>
            <w:pPr>
              <w:spacing w:before="60" w:after="60"/>
              <w:jc w:val="center"/>
            </w:pPr>
            <w:r>
              <w:rPr>
                <w:rFonts w:ascii="仿宋_GB2312" w:hAnsi="仿宋_GB2312" w:eastAsia="仿宋_GB2312"/>
                <w:sz w:val="28"/>
              </w:rPr>
              <w:t>2026年2月</w:t>
            </w:r>
          </w:p>
        </w:tc>
        <w:tc>
          <w:tcPr>
            <w:tcW w:type="dxa" w:w="4589"/>
            <w:vAlign w:val="center"/>
          </w:tcPr>
          <w:p>
            <w:pPr>
              <w:spacing w:before="60" w:after="60"/>
              <w:jc w:val="center"/>
            </w:pPr>
            <w:r>
              <w:rPr>
                <w:rFonts w:ascii="仿宋_GB2312" w:hAnsi="仿宋_GB2312" w:eastAsia="仿宋_GB2312"/>
                <w:sz w:val="28"/>
              </w:rPr>
              <w:t>安全性评价论文发表于《Food and Chemical Toxicology》（IF=3.5）【附件3】</w:t>
            </w:r>
          </w:p>
        </w:tc>
      </w:tr>
      <w:tr>
        <w:tc>
          <w:tcPr>
            <w:tcW w:type="dxa" w:w="4589"/>
            <w:vAlign w:val="center"/>
            <w:shd w:fill="F5F5F5"/>
          </w:tcPr>
          <w:p>
            <w:pPr>
              <w:spacing w:before="60" w:after="60"/>
              <w:jc w:val="center"/>
            </w:pPr>
            <w:r>
              <w:rPr>
                <w:rFonts w:ascii="仿宋_GB2312" w:hAnsi="仿宋_GB2312" w:eastAsia="仿宋_GB2312"/>
                <w:sz w:val="28"/>
              </w:rPr>
              <w:t>2026年3月</w:t>
            </w:r>
          </w:p>
        </w:tc>
        <w:tc>
          <w:tcPr>
            <w:tcW w:type="dxa" w:w="4589"/>
            <w:vAlign w:val="center"/>
            <w:shd w:fill="F5F5F5"/>
          </w:tcPr>
          <w:p>
            <w:pPr>
              <w:spacing w:before="60" w:after="60"/>
              <w:jc w:val="center"/>
            </w:pPr>
            <w:r>
              <w:rPr>
                <w:rFonts w:ascii="仿宋_GB2312" w:hAnsi="仿宋_GB2312" w:eastAsia="仿宋_GB2312"/>
                <w:sz w:val="28"/>
              </w:rPr>
              <w:t>获得自确认GRAS身份，以"Zukora"品牌进入美国市场【附件5】</w:t>
            </w:r>
          </w:p>
        </w:tc>
      </w:tr>
    </w:tbl>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二、技术路线与生产工艺</w:t>
      </w:r>
    </w:p>
    <w:p>
      <w:pPr>
        <w:spacing w:line="360" w:lineRule="auto" w:before="240" w:after="120"/>
        <w:ind w:firstLine="420"/>
        <w:jc w:val="left"/>
      </w:pPr>
      <w:r>
        <w:rPr>
          <w:rFonts w:ascii="楷体" w:hAnsi="楷体" w:eastAsia="楷体"/>
          <w:b/>
          <w:sz w:val="32"/>
        </w:rPr>
        <w:t>（一）核心技术平台</w:t>
      </w:r>
    </w:p>
    <w:p>
      <w:pPr>
        <w:spacing w:line="360" w:lineRule="auto"/>
        <w:ind w:firstLine="420"/>
        <w:jc w:val="both"/>
      </w:pPr>
      <w:r>
        <w:rPr>
          <w:rFonts w:ascii="仿宋_GB2312" w:hAnsi="仿宋_GB2312" w:eastAsia="仿宋_GB2312"/>
          <w:sz w:val="32"/>
        </w:rPr>
        <w:t>MycoTechnology公司采用</w:t>
      </w:r>
      <w:r>
        <w:rPr>
          <w:rFonts w:ascii="仿宋_GB2312" w:hAnsi="仿宋_GB2312" w:eastAsia="仿宋_GB2312"/>
          <w:b/>
          <w:sz w:val="32"/>
        </w:rPr>
        <w:t>精密发酵（Precision Fermentation）</w:t>
      </w:r>
      <w:r>
        <w:rPr>
          <w:rFonts w:ascii="仿宋_GB2312" w:hAnsi="仿宋_GB2312" w:eastAsia="仿宋_GB2312"/>
          <w:sz w:val="32"/>
        </w:rPr>
        <w:t>技术生产HTSP，该技术路线分为以下关键步骤【附件5】：</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发现与基因解析</w:t>
      </w:r>
      <w:r>
        <w:rPr>
          <w:rFonts w:ascii="仿宋_GB2312" w:hAnsi="仿宋_GB2312" w:eastAsia="仿宋_GB2312"/>
          <w:sz w:val="32"/>
        </w:rPr>
        <w:t>：从天然蜂蜜松露中识别并分离出负责甜味的蛋白质，确定其完整DNA序列（编码121个氨基酸）。</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宿主构建</w:t>
      </w:r>
      <w:r>
        <w:rPr>
          <w:rFonts w:ascii="仿宋_GB2312" w:hAnsi="仿宋_GB2312" w:eastAsia="仿宋_GB2312"/>
          <w:sz w:val="32"/>
        </w:rPr>
        <w:t>：将甜味蛋白编码基因插入</w:t>
      </w:r>
      <w:r>
        <w:rPr>
          <w:rFonts w:ascii="仿宋_GB2312" w:hAnsi="仿宋_GB2312" w:eastAsia="仿宋_GB2312"/>
          <w:i/>
          <w:sz w:val="32"/>
        </w:rPr>
        <w:t>Komagataella phaffii</w:t>
      </w:r>
      <w:r>
        <w:rPr>
          <w:rFonts w:ascii="仿宋_GB2312" w:hAnsi="仿宋_GB2312" w:eastAsia="仿宋_GB2312"/>
          <w:sz w:val="32"/>
        </w:rPr>
        <w:t>（亦称毕赤酵母</w:t>
      </w:r>
      <w:r>
        <w:rPr>
          <w:rFonts w:ascii="仿宋_GB2312" w:hAnsi="仿宋_GB2312" w:eastAsia="仿宋_GB2312"/>
          <w:i/>
          <w:sz w:val="32"/>
        </w:rPr>
        <w:t>Pichiais</w:t>
      </w:r>
      <w:r>
        <w:rPr>
          <w:rFonts w:ascii="仿宋_GB2312" w:hAnsi="仿宋_GB2312" w:eastAsia="仿宋_GB2312"/>
          <w:sz w:val="32"/>
        </w:rPr>
        <w:t>）表达系统中【附件3】。</w:t>
      </w:r>
    </w:p>
    <w:p>
      <w:pPr>
        <w:spacing w:line="360" w:lineRule="auto"/>
        <w:ind w:firstLine="420"/>
        <w:jc w:val="both"/>
      </w:pPr>
      <w:r>
        <w:rPr>
          <w:rFonts w:ascii="仿宋_GB2312" w:hAnsi="仿宋_GB2312" w:eastAsia="仿宋_GB2312"/>
          <w:sz w:val="32"/>
        </w:rPr>
        <w:t xml:space="preserve">3 </w:t>
      </w:r>
      <w:r>
        <w:rPr>
          <w:rFonts w:ascii="仿宋_GB2312" w:hAnsi="仿宋_GB2312" w:eastAsia="仿宋_GB2312"/>
          <w:b/>
          <w:sz w:val="32"/>
        </w:rPr>
        <w:t>深层发酵</w:t>
      </w:r>
      <w:r>
        <w:rPr>
          <w:rFonts w:ascii="仿宋_GB2312" w:hAnsi="仿宋_GB2312" w:eastAsia="仿宋_GB2312"/>
          <w:sz w:val="32"/>
        </w:rPr>
        <w:t>：通过优化培养基配方、温度、pH等工艺参数，在3000升发酵罐中进行高密度发酵【附件2】【附件7】。</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下游纯化</w:t>
      </w:r>
      <w:r>
        <w:rPr>
          <w:rFonts w:ascii="仿宋_GB2312" w:hAnsi="仿宋_GB2312" w:eastAsia="仿宋_GB2312"/>
          <w:sz w:val="32"/>
        </w:rPr>
        <w:t>：采用先进的分离纯化技术提取目标蛋白。</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喷雾干燥</w:t>
      </w:r>
      <w:r>
        <w:rPr>
          <w:rFonts w:ascii="仿宋_GB2312" w:hAnsi="仿宋_GB2312" w:eastAsia="仿宋_GB2312"/>
          <w:sz w:val="32"/>
        </w:rPr>
        <w:t>：将纯化后的蛋白溶液制成粉末状成品。</w:t>
      </w:r>
    </w:p>
    <w:p>
      <w:pPr>
        <w:spacing w:line="360" w:lineRule="auto" w:before="240" w:after="120"/>
        <w:ind w:firstLine="420"/>
        <w:jc w:val="left"/>
      </w:pPr>
      <w:r>
        <w:rPr>
          <w:rFonts w:ascii="楷体" w:hAnsi="楷体" w:eastAsia="楷体"/>
          <w:b/>
          <w:sz w:val="32"/>
        </w:rPr>
        <w:t>（二）技术优势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可持续性</w:t>
      </w:r>
      <w:r>
        <w:rPr>
          <w:rFonts w:ascii="仿宋_GB2312" w:hAnsi="仿宋_GB2312" w:eastAsia="仿宋_GB2312"/>
          <w:sz w:val="32"/>
        </w:rPr>
        <w:t>：与传统蔗糖生产相比，水资源和土地利用率显著更高【附件6】。</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清洁标签</w:t>
      </w:r>
      <w:r>
        <w:rPr>
          <w:rFonts w:ascii="仿宋_GB2312" w:hAnsi="仿宋_GB2312" w:eastAsia="仿宋_GB2312"/>
          <w:sz w:val="32"/>
        </w:rPr>
        <w:t>：天然来源的非化学合成产品，符合清洁标签趋势【附件7】。</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可放大性</w:t>
      </w:r>
      <w:r>
        <w:rPr>
          <w:rFonts w:ascii="仿宋_GB2312" w:hAnsi="仿宋_GB2312" w:eastAsia="仿宋_GB2312"/>
          <w:sz w:val="32"/>
        </w:rPr>
        <w:t>：已成功实现从实验室到商业批次的工艺放大【附件5】。</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平台化能力</w:t>
      </w:r>
      <w:r>
        <w:rPr>
          <w:rFonts w:ascii="仿宋_GB2312" w:hAnsi="仿宋_GB2312" w:eastAsia="仿宋_GB2312"/>
          <w:sz w:val="32"/>
        </w:rPr>
        <w:t>：公司同时开发了ClearIQ™（风味调节剂）、ClearHT（风味增强剂）和FermentIQ™（菌丝体发酵植物蛋白）等多条产品线，FAAS（发酵即服务）平台具有跨产品延展性【附件2】。</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三、市场竞争格局分析</w:t>
      </w:r>
    </w:p>
    <w:p>
      <w:pPr>
        <w:spacing w:line="360" w:lineRule="auto" w:before="240" w:after="120"/>
        <w:ind w:firstLine="420"/>
        <w:jc w:val="left"/>
      </w:pPr>
      <w:r>
        <w:rPr>
          <w:rFonts w:ascii="楷体" w:hAnsi="楷体" w:eastAsia="楷体"/>
          <w:b/>
          <w:sz w:val="32"/>
        </w:rPr>
        <w:t>（一）甜味蛋白品类概览</w:t>
      </w:r>
    </w:p>
    <w:p>
      <w:pPr>
        <w:spacing w:line="360" w:lineRule="auto"/>
        <w:ind w:firstLine="420"/>
        <w:jc w:val="both"/>
      </w:pPr>
      <w:r>
        <w:rPr>
          <w:rFonts w:ascii="仿宋_GB2312" w:hAnsi="仿宋_GB2312" w:eastAsia="仿宋_GB2312"/>
          <w:sz w:val="32"/>
        </w:rPr>
        <w:t>目前全球已发现的主要天然甜味蛋白及商业化进展如下：</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95"/>
        <w:gridCol w:w="2295"/>
        <w:gridCol w:w="2295"/>
        <w:gridCol w:w="2295"/>
      </w:tblGrid>
      <w:tr>
        <w:tc>
          <w:tcPr>
            <w:tcW w:type="dxa" w:w="2295"/>
            <w:shd w:fill="000000"/>
            <w:vAlign w:val="center"/>
          </w:tcPr>
          <w:p>
            <w:pPr>
              <w:spacing w:before="60" w:after="60"/>
              <w:jc w:val="center"/>
            </w:pPr>
            <w:r>
              <w:rPr>
                <w:rFonts w:ascii="仿宋_GB2312" w:hAnsi="仿宋_GB2312" w:eastAsia="仿宋_GB2312"/>
                <w:b/>
                <w:color w:val="FFFFFF"/>
                <w:sz w:val="28"/>
              </w:rPr>
              <w:t>甜味蛋白</w:t>
            </w:r>
          </w:p>
        </w:tc>
        <w:tc>
          <w:tcPr>
            <w:tcW w:type="dxa" w:w="2295"/>
            <w:shd w:fill="000000"/>
            <w:vAlign w:val="center"/>
          </w:tcPr>
          <w:p>
            <w:pPr>
              <w:spacing w:before="60" w:after="60"/>
              <w:jc w:val="center"/>
            </w:pPr>
            <w:r>
              <w:rPr>
                <w:rFonts w:ascii="仿宋_GB2312" w:hAnsi="仿宋_GB2312" w:eastAsia="仿宋_GB2312"/>
                <w:b/>
                <w:color w:val="FFFFFF"/>
                <w:sz w:val="28"/>
              </w:rPr>
              <w:t>来源物种</w:t>
            </w:r>
          </w:p>
        </w:tc>
        <w:tc>
          <w:tcPr>
            <w:tcW w:type="dxa" w:w="2295"/>
            <w:shd w:fill="000000"/>
            <w:vAlign w:val="center"/>
          </w:tcPr>
          <w:p>
            <w:pPr>
              <w:spacing w:before="60" w:after="60"/>
              <w:jc w:val="center"/>
            </w:pPr>
            <w:r>
              <w:rPr>
                <w:rFonts w:ascii="仿宋_GB2312" w:hAnsi="仿宋_GB2312" w:eastAsia="仿宋_GB2312"/>
                <w:b/>
                <w:color w:val="FFFFFF"/>
                <w:sz w:val="28"/>
              </w:rPr>
              <w:t>相对甜度（vs蔗糖）</w:t>
            </w:r>
          </w:p>
        </w:tc>
        <w:tc>
          <w:tcPr>
            <w:tcW w:type="dxa" w:w="2295"/>
            <w:shd w:fill="000000"/>
            <w:vAlign w:val="center"/>
          </w:tcPr>
          <w:p>
            <w:pPr>
              <w:spacing w:before="60" w:after="60"/>
              <w:jc w:val="center"/>
            </w:pPr>
            <w:r>
              <w:rPr>
                <w:rFonts w:ascii="仿宋_GB2312" w:hAnsi="仿宋_GB2312" w:eastAsia="仿宋_GB2312"/>
                <w:b/>
                <w:color w:val="FFFFFF"/>
                <w:sz w:val="28"/>
              </w:rPr>
              <w:t>商业化状态</w:t>
            </w:r>
          </w:p>
        </w:tc>
      </w:tr>
      <w:tr>
        <w:tc>
          <w:tcPr>
            <w:tcW w:type="dxa" w:w="2295"/>
            <w:vAlign w:val="center"/>
          </w:tcPr>
          <w:p>
            <w:pPr>
              <w:spacing w:before="60" w:after="60"/>
              <w:jc w:val="center"/>
            </w:pPr>
            <w:r>
              <w:rPr>
                <w:rFonts w:ascii="仿宋_GB2312" w:hAnsi="仿宋_GB2312" w:eastAsia="仿宋_GB2312"/>
                <w:sz w:val="28"/>
              </w:rPr>
              <w:t>蜂蜜松露甜蛋白（HTSP）</w:t>
            </w:r>
          </w:p>
        </w:tc>
        <w:tc>
          <w:tcPr>
            <w:tcW w:type="dxa" w:w="2295"/>
            <w:vAlign w:val="center"/>
          </w:tcPr>
          <w:p>
            <w:pPr>
              <w:spacing w:before="60" w:after="60"/>
              <w:jc w:val="center"/>
            </w:pPr>
            <w:r>
              <w:rPr>
                <w:rFonts w:ascii="仿宋_GB2312" w:hAnsi="仿宋_GB2312" w:eastAsia="仿宋_GB2312"/>
                <w:sz w:val="28"/>
              </w:rPr>
              <w:t>蜂蜜松露</w:t>
            </w:r>
          </w:p>
        </w:tc>
        <w:tc>
          <w:tcPr>
            <w:tcW w:type="dxa" w:w="2295"/>
            <w:vAlign w:val="center"/>
          </w:tcPr>
          <w:p>
            <w:pPr>
              <w:spacing w:before="60" w:after="60"/>
              <w:jc w:val="center"/>
            </w:pPr>
            <w:r>
              <w:rPr>
                <w:rFonts w:ascii="仿宋_GB2312" w:hAnsi="仿宋_GB2312" w:eastAsia="仿宋_GB2312"/>
                <w:sz w:val="28"/>
              </w:rPr>
              <w:t>1000—2500倍</w:t>
            </w:r>
          </w:p>
        </w:tc>
        <w:tc>
          <w:tcPr>
            <w:tcW w:type="dxa" w:w="2295"/>
            <w:vAlign w:val="center"/>
          </w:tcPr>
          <w:p>
            <w:pPr>
              <w:spacing w:before="60" w:after="60"/>
              <w:jc w:val="center"/>
            </w:pPr>
            <w:r>
              <w:rPr>
                <w:rFonts w:ascii="仿宋_GB2312" w:hAnsi="仿宋_GB2312" w:eastAsia="仿宋_GB2312"/>
                <w:sz w:val="28"/>
              </w:rPr>
              <w:t>2026年已商业化</w:t>
            </w:r>
          </w:p>
        </w:tc>
      </w:tr>
      <w:tr>
        <w:tc>
          <w:tcPr>
            <w:tcW w:type="dxa" w:w="2295"/>
            <w:vAlign w:val="center"/>
            <w:shd w:fill="F5F5F5"/>
          </w:tcPr>
          <w:p>
            <w:pPr>
              <w:spacing w:before="60" w:after="60"/>
              <w:jc w:val="center"/>
            </w:pPr>
            <w:r>
              <w:rPr>
                <w:rFonts w:ascii="仿宋_GB2312" w:hAnsi="仿宋_GB2312" w:eastAsia="仿宋_GB2312"/>
                <w:sz w:val="28"/>
              </w:rPr>
              <w:t>索马甜（Thaumatin）</w:t>
            </w:r>
          </w:p>
        </w:tc>
        <w:tc>
          <w:tcPr>
            <w:tcW w:type="dxa" w:w="2295"/>
            <w:vAlign w:val="center"/>
            <w:shd w:fill="F5F5F5"/>
          </w:tcPr>
          <w:p>
            <w:pPr>
              <w:spacing w:before="60" w:after="60"/>
              <w:jc w:val="center"/>
            </w:pPr>
            <w:r>
              <w:rPr>
                <w:rFonts w:ascii="仿宋_GB2312" w:hAnsi="仿宋_GB2312" w:eastAsia="仿宋_GB2312"/>
                <w:sz w:val="28"/>
              </w:rPr>
              <w:t>非洲竹芋（*Thaumatococcus daniellii*）</w:t>
            </w:r>
          </w:p>
        </w:tc>
        <w:tc>
          <w:tcPr>
            <w:tcW w:type="dxa" w:w="2295"/>
            <w:vAlign w:val="center"/>
            <w:shd w:fill="F5F5F5"/>
          </w:tcPr>
          <w:p>
            <w:pPr>
              <w:spacing w:before="60" w:after="60"/>
              <w:jc w:val="center"/>
            </w:pPr>
            <w:r>
              <w:rPr>
                <w:rFonts w:ascii="仿宋_GB2312" w:hAnsi="仿宋_GB2312" w:eastAsia="仿宋_GB2312"/>
                <w:sz w:val="28"/>
              </w:rPr>
              <w:t>2000—3000倍</w:t>
            </w:r>
          </w:p>
        </w:tc>
        <w:tc>
          <w:tcPr>
            <w:tcW w:type="dxa" w:w="2295"/>
            <w:vAlign w:val="center"/>
            <w:shd w:fill="F5F5F5"/>
          </w:tcPr>
          <w:p>
            <w:pPr>
              <w:spacing w:before="60" w:after="60"/>
              <w:jc w:val="center"/>
            </w:pPr>
            <w:r>
              <w:rPr>
                <w:rFonts w:ascii="仿宋_GB2312" w:hAnsi="仿宋_GB2312" w:eastAsia="仿宋_GB2312"/>
                <w:sz w:val="28"/>
              </w:rPr>
              <w:t>已商业化</w:t>
            </w:r>
          </w:p>
        </w:tc>
      </w:tr>
      <w:tr>
        <w:tc>
          <w:tcPr>
            <w:tcW w:type="dxa" w:w="2295"/>
            <w:vAlign w:val="center"/>
          </w:tcPr>
          <w:p>
            <w:pPr>
              <w:spacing w:before="60" w:after="60"/>
              <w:jc w:val="center"/>
            </w:pPr>
            <w:r>
              <w:rPr>
                <w:rFonts w:ascii="仿宋_GB2312" w:hAnsi="仿宋_GB2312" w:eastAsia="仿宋_GB2312"/>
                <w:sz w:val="28"/>
              </w:rPr>
              <w:t>布拉齐因（Brazzein）</w:t>
            </w:r>
          </w:p>
        </w:tc>
        <w:tc>
          <w:tcPr>
            <w:tcW w:type="dxa" w:w="2295"/>
            <w:vAlign w:val="center"/>
          </w:tcPr>
          <w:p>
            <w:pPr>
              <w:spacing w:before="60" w:after="60"/>
              <w:jc w:val="center"/>
            </w:pPr>
            <w:r>
              <w:rPr>
                <w:rFonts w:ascii="仿宋_GB2312" w:hAnsi="仿宋_GB2312" w:eastAsia="仿宋_GB2312"/>
                <w:sz w:val="28"/>
              </w:rPr>
              <w:t>非洲野莓（*Pentadiplandra brazzeana*）</w:t>
            </w:r>
          </w:p>
        </w:tc>
        <w:tc>
          <w:tcPr>
            <w:tcW w:type="dxa" w:w="2295"/>
            <w:vAlign w:val="center"/>
          </w:tcPr>
          <w:p>
            <w:pPr>
              <w:spacing w:before="60" w:after="60"/>
              <w:jc w:val="center"/>
            </w:pPr>
            <w:r>
              <w:rPr>
                <w:rFonts w:ascii="仿宋_GB2312" w:hAnsi="仿宋_GB2312" w:eastAsia="仿宋_GB2312"/>
                <w:sz w:val="28"/>
              </w:rPr>
              <w:t>500—2000倍</w:t>
            </w:r>
          </w:p>
        </w:tc>
        <w:tc>
          <w:tcPr>
            <w:tcW w:type="dxa" w:w="2295"/>
            <w:vAlign w:val="center"/>
          </w:tcPr>
          <w:p>
            <w:pPr>
              <w:spacing w:before="60" w:after="60"/>
              <w:jc w:val="center"/>
            </w:pPr>
            <w:r>
              <w:rPr>
                <w:rFonts w:ascii="仿宋_GB2312" w:hAnsi="仿宋_GB2312" w:eastAsia="仿宋_GB2312"/>
                <w:sz w:val="28"/>
              </w:rPr>
              <w:t>研发/审批中</w:t>
            </w:r>
          </w:p>
        </w:tc>
      </w:tr>
      <w:tr>
        <w:tc>
          <w:tcPr>
            <w:tcW w:type="dxa" w:w="2295"/>
            <w:vAlign w:val="center"/>
            <w:shd w:fill="F5F5F5"/>
          </w:tcPr>
          <w:p>
            <w:pPr>
              <w:spacing w:before="60" w:after="60"/>
              <w:jc w:val="center"/>
            </w:pPr>
            <w:r>
              <w:rPr>
                <w:rFonts w:ascii="仿宋_GB2312" w:hAnsi="仿宋_GB2312" w:eastAsia="仿宋_GB2312"/>
                <w:sz w:val="28"/>
              </w:rPr>
              <w:t>莫内林（Monellin）</w:t>
            </w:r>
          </w:p>
        </w:tc>
        <w:tc>
          <w:tcPr>
            <w:tcW w:type="dxa" w:w="2295"/>
            <w:vAlign w:val="center"/>
            <w:shd w:fill="F5F5F5"/>
          </w:tcPr>
          <w:p>
            <w:pPr>
              <w:spacing w:before="60" w:after="60"/>
              <w:jc w:val="center"/>
            </w:pPr>
            <w:r>
              <w:rPr>
                <w:rFonts w:ascii="仿宋_GB2312" w:hAnsi="仿宋_GB2312" w:eastAsia="仿宋_GB2312"/>
                <w:sz w:val="28"/>
              </w:rPr>
              <w:t>非洲防己果（*Dioscoreophyllum cumminsii*）</w:t>
            </w:r>
          </w:p>
        </w:tc>
        <w:tc>
          <w:tcPr>
            <w:tcW w:type="dxa" w:w="2295"/>
            <w:vAlign w:val="center"/>
            <w:shd w:fill="F5F5F5"/>
          </w:tcPr>
          <w:p>
            <w:pPr>
              <w:spacing w:before="60" w:after="60"/>
              <w:jc w:val="center"/>
            </w:pPr>
            <w:r>
              <w:rPr>
                <w:rFonts w:ascii="仿宋_GB2312" w:hAnsi="仿宋_GB2312" w:eastAsia="仿宋_GB2312"/>
                <w:sz w:val="28"/>
              </w:rPr>
              <w:t>1500—3000倍</w:t>
            </w:r>
          </w:p>
        </w:tc>
        <w:tc>
          <w:tcPr>
            <w:tcW w:type="dxa" w:w="2295"/>
            <w:vAlign w:val="center"/>
            <w:shd w:fill="F5F5F5"/>
          </w:tcPr>
          <w:p>
            <w:pPr>
              <w:spacing w:before="60" w:after="60"/>
              <w:jc w:val="center"/>
            </w:pPr>
            <w:r>
              <w:rPr>
                <w:rFonts w:ascii="仿宋_GB2312" w:hAnsi="仿宋_GB2312" w:eastAsia="仿宋_GB2312"/>
                <w:sz w:val="28"/>
              </w:rPr>
              <w:t>研发中</w:t>
            </w:r>
          </w:p>
        </w:tc>
      </w:tr>
      <w:tr>
        <w:tc>
          <w:tcPr>
            <w:tcW w:type="dxa" w:w="2295"/>
            <w:vAlign w:val="center"/>
          </w:tcPr>
          <w:p>
            <w:pPr>
              <w:spacing w:before="60" w:after="60"/>
              <w:jc w:val="center"/>
            </w:pPr>
            <w:r>
              <w:rPr>
                <w:rFonts w:ascii="仿宋_GB2312" w:hAnsi="仿宋_GB2312" w:eastAsia="仿宋_GB2312"/>
                <w:sz w:val="28"/>
              </w:rPr>
              <w:t>马宾灵（Mabinlin）</w:t>
            </w:r>
          </w:p>
        </w:tc>
        <w:tc>
          <w:tcPr>
            <w:tcW w:type="dxa" w:w="2295"/>
            <w:vAlign w:val="center"/>
          </w:tcPr>
          <w:p>
            <w:pPr>
              <w:spacing w:before="60" w:after="60"/>
              <w:jc w:val="center"/>
            </w:pPr>
            <w:r>
              <w:rPr>
                <w:rFonts w:ascii="仿宋_GB2312" w:hAnsi="仿宋_GB2312" w:eastAsia="仿宋_GB2312"/>
                <w:sz w:val="28"/>
              </w:rPr>
              <w:t>马宾榔（*Capparis masikai*）</w:t>
            </w:r>
          </w:p>
        </w:tc>
        <w:tc>
          <w:tcPr>
            <w:tcW w:type="dxa" w:w="2295"/>
            <w:vAlign w:val="center"/>
          </w:tcPr>
          <w:p>
            <w:pPr>
              <w:spacing w:before="60" w:after="60"/>
              <w:jc w:val="center"/>
            </w:pPr>
            <w:r>
              <w:rPr>
                <w:rFonts w:ascii="仿宋_GB2312" w:hAnsi="仿宋_GB2312" w:eastAsia="仿宋_GB2312"/>
                <w:sz w:val="28"/>
              </w:rPr>
              <w:t>100—400倍</w:t>
            </w:r>
          </w:p>
        </w:tc>
        <w:tc>
          <w:tcPr>
            <w:tcW w:type="dxa" w:w="2295"/>
            <w:vAlign w:val="center"/>
          </w:tcPr>
          <w:p>
            <w:pPr>
              <w:spacing w:before="60" w:after="60"/>
              <w:jc w:val="center"/>
            </w:pPr>
            <w:r>
              <w:rPr>
                <w:rFonts w:ascii="仿宋_GB2312" w:hAnsi="仿宋_GB2312" w:eastAsia="仿宋_GB2312"/>
                <w:sz w:val="28"/>
              </w:rPr>
              <w:t>研发中</w:t>
            </w:r>
          </w:p>
        </w:tc>
      </w:tr>
      <w:tr>
        <w:tc>
          <w:tcPr>
            <w:tcW w:type="dxa" w:w="2295"/>
            <w:vAlign w:val="center"/>
            <w:shd w:fill="F5F5F5"/>
          </w:tcPr>
          <w:p>
            <w:pPr>
              <w:spacing w:before="60" w:after="60"/>
              <w:jc w:val="center"/>
            </w:pPr>
            <w:r>
              <w:rPr>
                <w:rFonts w:ascii="仿宋_GB2312" w:hAnsi="仿宋_GB2312" w:eastAsia="仿宋_GB2312"/>
                <w:sz w:val="28"/>
              </w:rPr>
              <w:t>神秘果蛋白（Curculin）</w:t>
            </w:r>
          </w:p>
        </w:tc>
        <w:tc>
          <w:tcPr>
            <w:tcW w:type="dxa" w:w="2295"/>
            <w:vAlign w:val="center"/>
            <w:shd w:fill="F5F5F5"/>
          </w:tcPr>
          <w:p>
            <w:pPr>
              <w:spacing w:before="60" w:after="60"/>
              <w:jc w:val="center"/>
            </w:pPr>
            <w:r>
              <w:rPr>
                <w:rFonts w:ascii="仿宋_GB2312" w:hAnsi="仿宋_GB2312" w:eastAsia="仿宋_GB2312"/>
                <w:sz w:val="28"/>
              </w:rPr>
              <w:t>神秘果（*Curculigo latifolia*）</w:t>
            </w:r>
          </w:p>
        </w:tc>
        <w:tc>
          <w:tcPr>
            <w:tcW w:type="dxa" w:w="2295"/>
            <w:vAlign w:val="center"/>
            <w:shd w:fill="F5F5F5"/>
          </w:tcPr>
          <w:p>
            <w:pPr>
              <w:spacing w:before="60" w:after="60"/>
              <w:jc w:val="center"/>
            </w:pPr>
            <w:r>
              <w:rPr>
                <w:rFonts w:ascii="仿宋_GB2312" w:hAnsi="仿宋_GB2312" w:eastAsia="仿宋_GB2312"/>
                <w:sz w:val="28"/>
              </w:rPr>
              <w:t>变味剂</w:t>
            </w:r>
          </w:p>
        </w:tc>
        <w:tc>
          <w:tcPr>
            <w:tcW w:type="dxa" w:w="2295"/>
            <w:vAlign w:val="center"/>
            <w:shd w:fill="F5F5F5"/>
          </w:tcPr>
          <w:p>
            <w:pPr>
              <w:spacing w:before="60" w:after="60"/>
              <w:jc w:val="center"/>
            </w:pPr>
            <w:r>
              <w:rPr>
                <w:rFonts w:ascii="仿宋_GB2312" w:hAnsi="仿宋_GB2312" w:eastAsia="仿宋_GB2312"/>
                <w:sz w:val="28"/>
              </w:rPr>
              <w:t>已商业化</w:t>
            </w:r>
          </w:p>
        </w:tc>
      </w:tr>
      <w:tr>
        <w:tc>
          <w:tcPr>
            <w:tcW w:type="dxa" w:w="2295"/>
            <w:vAlign w:val="center"/>
          </w:tcPr>
          <w:p>
            <w:pPr>
              <w:spacing w:before="60" w:after="60"/>
              <w:jc w:val="center"/>
            </w:pPr>
            <w:r>
              <w:rPr>
                <w:rFonts w:ascii="仿宋_GB2312" w:hAnsi="仿宋_GB2312" w:eastAsia="仿宋_GB2312"/>
                <w:sz w:val="28"/>
              </w:rPr>
              <w:t>喷他丁（Pentadin）</w:t>
            </w:r>
          </w:p>
        </w:tc>
        <w:tc>
          <w:tcPr>
            <w:tcW w:type="dxa" w:w="2295"/>
            <w:vAlign w:val="center"/>
          </w:tcPr>
          <w:p>
            <w:pPr>
              <w:spacing w:before="60" w:after="60"/>
              <w:jc w:val="center"/>
            </w:pPr>
            <w:r>
              <w:rPr>
                <w:rFonts w:ascii="仿宋_GB2312" w:hAnsi="仿宋_GB2312" w:eastAsia="仿宋_GB2312"/>
                <w:sz w:val="28"/>
              </w:rPr>
              <w:t>非洲野莓</w:t>
            </w:r>
          </w:p>
        </w:tc>
        <w:tc>
          <w:tcPr>
            <w:tcW w:type="dxa" w:w="2295"/>
            <w:vAlign w:val="center"/>
          </w:tcPr>
          <w:p>
            <w:pPr>
              <w:spacing w:before="60" w:after="60"/>
              <w:jc w:val="center"/>
            </w:pPr>
            <w:r>
              <w:rPr>
                <w:rFonts w:ascii="仿宋_GB2312" w:hAnsi="仿宋_GB2312" w:eastAsia="仿宋_GB2312"/>
                <w:sz w:val="28"/>
              </w:rPr>
              <w:t>约500倍</w:t>
            </w:r>
          </w:p>
        </w:tc>
        <w:tc>
          <w:tcPr>
            <w:tcW w:type="dxa" w:w="2295"/>
            <w:vAlign w:val="center"/>
          </w:tcPr>
          <w:p>
            <w:pPr>
              <w:spacing w:before="60" w:after="60"/>
              <w:jc w:val="center"/>
            </w:pPr>
            <w:r>
              <w:rPr>
                <w:rFonts w:ascii="仿宋_GB2312" w:hAnsi="仿宋_GB2312" w:eastAsia="仿宋_GB2312"/>
                <w:sz w:val="28"/>
              </w:rPr>
              <w:t>研究阶段</w:t>
            </w:r>
          </w:p>
        </w:tc>
      </w:tr>
    </w:tbl>
    <w:p/>
    <w:p>
      <w:pPr>
        <w:spacing w:line="360" w:lineRule="auto" w:before="240" w:after="120"/>
        <w:ind w:firstLine="420"/>
        <w:jc w:val="left"/>
      </w:pPr>
      <w:r>
        <w:rPr>
          <w:rFonts w:ascii="楷体" w:hAnsi="楷体" w:eastAsia="楷体"/>
          <w:b/>
          <w:sz w:val="32"/>
        </w:rPr>
        <w:t>（二）主要竞争企业与产品</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30"/>
        <w:gridCol w:w="1530"/>
        <w:gridCol w:w="1530"/>
        <w:gridCol w:w="1530"/>
        <w:gridCol w:w="1530"/>
        <w:gridCol w:w="1530"/>
      </w:tblGrid>
      <w:tr>
        <w:tc>
          <w:tcPr>
            <w:tcW w:type="dxa" w:w="1530"/>
            <w:shd w:fill="000000"/>
            <w:vAlign w:val="center"/>
          </w:tcPr>
          <w:p>
            <w:pPr>
              <w:spacing w:before="60" w:after="60"/>
              <w:jc w:val="center"/>
            </w:pPr>
            <w:r>
              <w:rPr>
                <w:rFonts w:ascii="仿宋_GB2312" w:hAnsi="仿宋_GB2312" w:eastAsia="仿宋_GB2312"/>
                <w:b/>
                <w:color w:val="FFFFFF"/>
                <w:sz w:val="28"/>
              </w:rPr>
              <w:t>企业名称</w:t>
            </w:r>
          </w:p>
        </w:tc>
        <w:tc>
          <w:tcPr>
            <w:tcW w:type="dxa" w:w="1530"/>
            <w:shd w:fill="000000"/>
            <w:vAlign w:val="center"/>
          </w:tcPr>
          <w:p>
            <w:pPr>
              <w:spacing w:before="60" w:after="60"/>
              <w:jc w:val="center"/>
            </w:pPr>
            <w:r>
              <w:rPr>
                <w:rFonts w:ascii="仿宋_GB2312" w:hAnsi="仿宋_GB2312" w:eastAsia="仿宋_GB2312"/>
                <w:b/>
                <w:color w:val="FFFFFF"/>
                <w:sz w:val="28"/>
              </w:rPr>
              <w:t>国别</w:t>
            </w:r>
          </w:p>
        </w:tc>
        <w:tc>
          <w:tcPr>
            <w:tcW w:type="dxa" w:w="1530"/>
            <w:shd w:fill="000000"/>
            <w:vAlign w:val="center"/>
          </w:tcPr>
          <w:p>
            <w:pPr>
              <w:spacing w:before="60" w:after="60"/>
              <w:jc w:val="center"/>
            </w:pPr>
            <w:r>
              <w:rPr>
                <w:rFonts w:ascii="仿宋_GB2312" w:hAnsi="仿宋_GB2312" w:eastAsia="仿宋_GB2312"/>
                <w:b/>
                <w:color w:val="FFFFFF"/>
                <w:sz w:val="28"/>
              </w:rPr>
              <w:t>核心产品</w:t>
            </w:r>
          </w:p>
        </w:tc>
        <w:tc>
          <w:tcPr>
            <w:tcW w:type="dxa" w:w="1530"/>
            <w:shd w:fill="000000"/>
            <w:vAlign w:val="center"/>
          </w:tcPr>
          <w:p>
            <w:pPr>
              <w:spacing w:before="60" w:after="60"/>
              <w:jc w:val="center"/>
            </w:pPr>
            <w:r>
              <w:rPr>
                <w:rFonts w:ascii="仿宋_GB2312" w:hAnsi="仿宋_GB2312" w:eastAsia="仿宋_GB2312"/>
                <w:b/>
                <w:color w:val="FFFFFF"/>
                <w:sz w:val="28"/>
              </w:rPr>
              <w:t>融资金额</w:t>
            </w:r>
          </w:p>
        </w:tc>
        <w:tc>
          <w:tcPr>
            <w:tcW w:type="dxa" w:w="1530"/>
            <w:shd w:fill="000000"/>
            <w:vAlign w:val="center"/>
          </w:tcPr>
          <w:p>
            <w:pPr>
              <w:spacing w:before="60" w:after="60"/>
              <w:jc w:val="center"/>
            </w:pPr>
            <w:r>
              <w:rPr>
                <w:rFonts w:ascii="仿宋_GB2312" w:hAnsi="仿宋_GB2312" w:eastAsia="仿宋_GB2312"/>
                <w:b/>
                <w:color w:val="FFFFFF"/>
                <w:sz w:val="28"/>
              </w:rPr>
              <w:t>技术路线</w:t>
            </w:r>
          </w:p>
        </w:tc>
        <w:tc>
          <w:tcPr>
            <w:tcW w:type="dxa" w:w="1530"/>
            <w:shd w:fill="000000"/>
            <w:vAlign w:val="center"/>
          </w:tcPr>
          <w:p>
            <w:pPr>
              <w:spacing w:before="60" w:after="60"/>
              <w:jc w:val="center"/>
            </w:pPr>
            <w:r>
              <w:rPr>
                <w:rFonts w:ascii="仿宋_GB2312" w:hAnsi="仿宋_GB2312" w:eastAsia="仿宋_GB2312"/>
                <w:b/>
                <w:color w:val="FFFFFF"/>
                <w:sz w:val="28"/>
              </w:rPr>
              <w:t>发展阶段</w:t>
            </w:r>
          </w:p>
        </w:tc>
      </w:tr>
      <w:tr>
        <w:tc>
          <w:tcPr>
            <w:tcW w:type="dxa" w:w="1530"/>
            <w:vAlign w:val="center"/>
          </w:tcPr>
          <w:p>
            <w:pPr>
              <w:spacing w:before="60" w:after="60"/>
              <w:jc w:val="center"/>
            </w:pPr>
            <w:r>
              <w:rPr>
                <w:rFonts w:ascii="仿宋_GB2312" w:hAnsi="仿宋_GB2312" w:eastAsia="仿宋_GB2312"/>
                <w:sz w:val="28"/>
              </w:rPr>
              <w:t>MycoTechnology</w:t>
            </w:r>
          </w:p>
        </w:tc>
        <w:tc>
          <w:tcPr>
            <w:tcW w:type="dxa" w:w="1530"/>
            <w:vAlign w:val="center"/>
          </w:tcPr>
          <w:p>
            <w:pPr>
              <w:spacing w:before="60" w:after="60"/>
              <w:jc w:val="center"/>
            </w:pPr>
            <w:r>
              <w:rPr>
                <w:rFonts w:ascii="仿宋_GB2312" w:hAnsi="仿宋_GB2312" w:eastAsia="仿宋_GB2312"/>
                <w:sz w:val="28"/>
              </w:rPr>
              <w:t>美国</w:t>
            </w:r>
          </w:p>
        </w:tc>
        <w:tc>
          <w:tcPr>
            <w:tcW w:type="dxa" w:w="1530"/>
            <w:vAlign w:val="center"/>
          </w:tcPr>
          <w:p>
            <w:pPr>
              <w:spacing w:before="60" w:after="60"/>
              <w:jc w:val="center"/>
            </w:pPr>
            <w:r>
              <w:rPr>
                <w:rFonts w:ascii="仿宋_GB2312" w:hAnsi="仿宋_GB2312" w:eastAsia="仿宋_GB2312"/>
                <w:sz w:val="28"/>
              </w:rPr>
              <w:t>Zukora（HTSP）、IQ、FermentIQ</w:t>
            </w:r>
          </w:p>
        </w:tc>
        <w:tc>
          <w:tcPr>
            <w:tcW w:type="dxa" w:w="1530"/>
            <w:vAlign w:val="center"/>
          </w:tcPr>
          <w:p>
            <w:pPr>
              <w:spacing w:before="60" w:after="60"/>
              <w:jc w:val="center"/>
            </w:pPr>
            <w:r>
              <w:rPr>
                <w:rFonts w:ascii="仿宋_GB2312" w:hAnsi="仿宋_GB2312" w:eastAsia="仿宋_GB2312"/>
                <w:sz w:val="28"/>
              </w:rPr>
              <w:t>2.2亿美元【附件2】</w:t>
            </w:r>
          </w:p>
        </w:tc>
        <w:tc>
          <w:tcPr>
            <w:tcW w:type="dxa" w:w="1530"/>
            <w:vAlign w:val="center"/>
          </w:tcPr>
          <w:p>
            <w:pPr>
              <w:spacing w:before="60" w:after="60"/>
              <w:jc w:val="center"/>
            </w:pPr>
            <w:r>
              <w:rPr>
                <w:rFonts w:ascii="仿宋_GB2312" w:hAnsi="仿宋_GB2312" w:eastAsia="仿宋_GB2312"/>
                <w:sz w:val="28"/>
              </w:rPr>
              <w:t>菌丝体发酵+精密发酵</w:t>
            </w:r>
          </w:p>
        </w:tc>
        <w:tc>
          <w:tcPr>
            <w:tcW w:type="dxa" w:w="1530"/>
            <w:vAlign w:val="center"/>
          </w:tcPr>
          <w:p>
            <w:pPr>
              <w:spacing w:before="60" w:after="60"/>
              <w:jc w:val="center"/>
            </w:pPr>
            <w:r>
              <w:rPr>
                <w:rFonts w:ascii="仿宋_GB2312" w:hAnsi="仿宋_GB2312" w:eastAsia="仿宋_GB2312"/>
                <w:sz w:val="28"/>
              </w:rPr>
              <w:t>商业化</w:t>
            </w:r>
          </w:p>
        </w:tc>
      </w:tr>
      <w:tr>
        <w:tc>
          <w:tcPr>
            <w:tcW w:type="dxa" w:w="1530"/>
            <w:vAlign w:val="center"/>
            <w:shd w:fill="F5F5F5"/>
          </w:tcPr>
          <w:p>
            <w:pPr>
              <w:spacing w:before="60" w:after="60"/>
              <w:jc w:val="center"/>
            </w:pPr>
            <w:r>
              <w:rPr>
                <w:rFonts w:ascii="仿宋_GB2312" w:hAnsi="仿宋_GB2312" w:eastAsia="仿宋_GB2312"/>
                <w:sz w:val="28"/>
              </w:rPr>
              <w:t>Sweegen</w:t>
            </w:r>
          </w:p>
        </w:tc>
        <w:tc>
          <w:tcPr>
            <w:tcW w:type="dxa" w:w="1530"/>
            <w:vAlign w:val="center"/>
            <w:shd w:fill="F5F5F5"/>
          </w:tcPr>
          <w:p>
            <w:pPr>
              <w:spacing w:before="60" w:after="60"/>
              <w:jc w:val="center"/>
            </w:pPr>
            <w:r>
              <w:rPr>
                <w:rFonts w:ascii="仿宋_GB2312" w:hAnsi="仿宋_GB2312" w:eastAsia="仿宋_GB2312"/>
                <w:sz w:val="28"/>
              </w:rPr>
              <w:t>美国</w:t>
            </w:r>
          </w:p>
        </w:tc>
        <w:tc>
          <w:tcPr>
            <w:tcW w:type="dxa" w:w="1530"/>
            <w:vAlign w:val="center"/>
            <w:shd w:fill="F5F5F5"/>
          </w:tcPr>
          <w:p>
            <w:pPr>
              <w:spacing w:before="60" w:after="60"/>
              <w:jc w:val="center"/>
            </w:pPr>
            <w:r>
              <w:rPr>
                <w:rFonts w:ascii="仿宋_GB2312" w:hAnsi="仿宋_GB2312" w:eastAsia="仿宋_GB2312"/>
                <w:sz w:val="28"/>
              </w:rPr>
              <w:t>布拉齐因、甜菊糖苷</w:t>
            </w:r>
          </w:p>
        </w:tc>
        <w:tc>
          <w:tcPr>
            <w:tcW w:type="dxa" w:w="1530"/>
            <w:vAlign w:val="center"/>
            <w:shd w:fill="F5F5F5"/>
          </w:tcPr>
          <w:p>
            <w:pPr>
              <w:spacing w:before="60" w:after="60"/>
              <w:jc w:val="center"/>
            </w:pPr>
            <w:r>
              <w:rPr>
                <w:rFonts w:ascii="仿宋_GB2312" w:hAnsi="仿宋_GB2312" w:eastAsia="仿宋_GB2312"/>
                <w:sz w:val="28"/>
              </w:rPr>
              <w:t>约5000万美元</w:t>
            </w:r>
          </w:p>
        </w:tc>
        <w:tc>
          <w:tcPr>
            <w:tcW w:type="dxa" w:w="1530"/>
            <w:vAlign w:val="center"/>
            <w:shd w:fill="F5F5F5"/>
          </w:tcPr>
          <w:p>
            <w:pPr>
              <w:spacing w:before="60" w:after="60"/>
              <w:jc w:val="center"/>
            </w:pPr>
            <w:r>
              <w:rPr>
                <w:rFonts w:ascii="仿宋_GB2312" w:hAnsi="仿宋_GB2312" w:eastAsia="仿宋_GB2312"/>
                <w:sz w:val="28"/>
              </w:rPr>
              <w:t>精密发酵</w:t>
            </w:r>
          </w:p>
        </w:tc>
        <w:tc>
          <w:tcPr>
            <w:tcW w:type="dxa" w:w="1530"/>
            <w:vAlign w:val="center"/>
            <w:shd w:fill="F5F5F5"/>
          </w:tcPr>
          <w:p>
            <w:pPr>
              <w:spacing w:before="60" w:after="60"/>
              <w:jc w:val="center"/>
            </w:pPr>
            <w:r>
              <w:rPr>
                <w:rFonts w:ascii="仿宋_GB2312" w:hAnsi="仿宋_GB2312" w:eastAsia="仿宋_GB2312"/>
                <w:sz w:val="28"/>
              </w:rPr>
              <w:t>商业化阶段</w:t>
            </w:r>
          </w:p>
        </w:tc>
      </w:tr>
      <w:tr>
        <w:tc>
          <w:tcPr>
            <w:tcW w:type="dxa" w:w="1530"/>
            <w:vAlign w:val="center"/>
          </w:tcPr>
          <w:p>
            <w:pPr>
              <w:spacing w:before="60" w:after="60"/>
              <w:jc w:val="center"/>
            </w:pPr>
            <w:r>
              <w:rPr>
                <w:rFonts w:ascii="仿宋_GB2312" w:hAnsi="仿宋_GB2312" w:eastAsia="仿宋_GB2312"/>
                <w:sz w:val="28"/>
              </w:rPr>
              <w:t>Oobli</w:t>
            </w:r>
          </w:p>
        </w:tc>
        <w:tc>
          <w:tcPr>
            <w:tcW w:type="dxa" w:w="1530"/>
            <w:vAlign w:val="center"/>
          </w:tcPr>
          <w:p>
            <w:pPr>
              <w:spacing w:before="60" w:after="60"/>
              <w:jc w:val="center"/>
            </w:pPr>
            <w:r>
              <w:rPr>
                <w:rFonts w:ascii="仿宋_GB2312" w:hAnsi="仿宋_GB2312" w:eastAsia="仿宋_GB2312"/>
                <w:sz w:val="28"/>
              </w:rPr>
              <w:t>美国</w:t>
            </w:r>
          </w:p>
        </w:tc>
        <w:tc>
          <w:tcPr>
            <w:tcW w:type="dxa" w:w="1530"/>
            <w:vAlign w:val="center"/>
          </w:tcPr>
          <w:p>
            <w:pPr>
              <w:spacing w:before="60" w:after="60"/>
              <w:jc w:val="center"/>
            </w:pPr>
            <w:r>
              <w:rPr>
                <w:rFonts w:ascii="仿宋_GB2312" w:hAnsi="仿宋_GB2312" w:eastAsia="仿宋_GB2312"/>
                <w:sz w:val="28"/>
              </w:rPr>
              <w:t>多种甜味蛋白</w:t>
            </w:r>
          </w:p>
        </w:tc>
        <w:tc>
          <w:tcPr>
            <w:tcW w:type="dxa" w:w="1530"/>
            <w:vAlign w:val="center"/>
          </w:tcPr>
          <w:p>
            <w:pPr>
              <w:spacing w:before="60" w:after="60"/>
              <w:jc w:val="center"/>
            </w:pPr>
            <w:r>
              <w:rPr>
                <w:rFonts w:ascii="仿宋_GB2312" w:hAnsi="仿宋_GB2312" w:eastAsia="仿宋_GB2312"/>
                <w:sz w:val="28"/>
              </w:rPr>
              <w:t>约1亿美元</w:t>
            </w:r>
          </w:p>
        </w:tc>
        <w:tc>
          <w:tcPr>
            <w:tcW w:type="dxa" w:w="1530"/>
            <w:vAlign w:val="center"/>
          </w:tcPr>
          <w:p>
            <w:pPr>
              <w:spacing w:before="60" w:after="60"/>
              <w:jc w:val="center"/>
            </w:pPr>
            <w:r>
              <w:rPr>
                <w:rFonts w:ascii="仿宋_GB2312" w:hAnsi="仿宋_GB2312" w:eastAsia="仿宋_GB2312"/>
                <w:sz w:val="28"/>
              </w:rPr>
              <w:t>精密发酵</w:t>
            </w:r>
          </w:p>
        </w:tc>
        <w:tc>
          <w:tcPr>
            <w:tcW w:type="dxa" w:w="1530"/>
            <w:vAlign w:val="center"/>
          </w:tcPr>
          <w:p>
            <w:pPr>
              <w:spacing w:before="60" w:after="60"/>
              <w:jc w:val="center"/>
            </w:pPr>
            <w:r>
              <w:rPr>
                <w:rFonts w:ascii="仿宋_GB2312" w:hAnsi="仿宋_GB2312" w:eastAsia="仿宋_GB2312"/>
                <w:sz w:val="28"/>
              </w:rPr>
              <w:t>商业化阶段</w:t>
            </w:r>
          </w:p>
        </w:tc>
      </w:tr>
      <w:tr>
        <w:tc>
          <w:tcPr>
            <w:tcW w:type="dxa" w:w="1530"/>
            <w:vAlign w:val="center"/>
            <w:shd w:fill="F5F5F5"/>
          </w:tcPr>
          <w:p>
            <w:pPr>
              <w:spacing w:before="60" w:after="60"/>
              <w:jc w:val="center"/>
            </w:pPr>
            <w:r>
              <w:rPr>
                <w:rFonts w:ascii="仿宋_GB2312" w:hAnsi="仿宋_GB2312" w:eastAsia="仿宋_GB2312"/>
                <w:sz w:val="28"/>
              </w:rPr>
              <w:t>Cargill</w:t>
            </w:r>
          </w:p>
        </w:tc>
        <w:tc>
          <w:tcPr>
            <w:tcW w:type="dxa" w:w="1530"/>
            <w:vAlign w:val="center"/>
            <w:shd w:fill="F5F5F5"/>
          </w:tcPr>
          <w:p>
            <w:pPr>
              <w:spacing w:before="60" w:after="60"/>
              <w:jc w:val="center"/>
            </w:pPr>
            <w:r>
              <w:rPr>
                <w:rFonts w:ascii="仿宋_GB2312" w:hAnsi="仿宋_GB2312" w:eastAsia="仿宋_GB2312"/>
                <w:sz w:val="28"/>
              </w:rPr>
              <w:t>美国</w:t>
            </w:r>
          </w:p>
        </w:tc>
        <w:tc>
          <w:tcPr>
            <w:tcW w:type="dxa" w:w="1530"/>
            <w:vAlign w:val="center"/>
            <w:shd w:fill="F5F5F5"/>
          </w:tcPr>
          <w:p>
            <w:pPr>
              <w:spacing w:before="60" w:after="60"/>
              <w:jc w:val="center"/>
            </w:pPr>
            <w:r>
              <w:rPr>
                <w:rFonts w:ascii="仿宋_GB2312" w:hAnsi="仿宋_GB2312" w:eastAsia="仿宋_GB2312"/>
                <w:sz w:val="28"/>
              </w:rPr>
              <w:t>索马甜（Talin）、甜菊糖</w:t>
            </w:r>
          </w:p>
        </w:tc>
        <w:tc>
          <w:tcPr>
            <w:tcW w:type="dxa" w:w="1530"/>
            <w:vAlign w:val="center"/>
            <w:shd w:fill="F5F5F5"/>
          </w:tcPr>
          <w:p>
            <w:pPr>
              <w:spacing w:before="60" w:after="60"/>
              <w:jc w:val="center"/>
            </w:pPr>
            <w:r>
              <w:rPr>
                <w:rFonts w:ascii="仿宋_GB2312" w:hAnsi="仿宋_GB2312" w:eastAsia="仿宋_GB2312"/>
                <w:sz w:val="28"/>
              </w:rPr>
              <w:t>全球食品巨头</w:t>
            </w:r>
          </w:p>
        </w:tc>
        <w:tc>
          <w:tcPr>
            <w:tcW w:type="dxa" w:w="1530"/>
            <w:vAlign w:val="center"/>
            <w:shd w:fill="F5F5F5"/>
          </w:tcPr>
          <w:p>
            <w:pPr>
              <w:spacing w:before="60" w:after="60"/>
              <w:jc w:val="center"/>
            </w:pPr>
            <w:r>
              <w:rPr>
                <w:rFonts w:ascii="仿宋_GB2312" w:hAnsi="仿宋_GB2312" w:eastAsia="仿宋_GB2312"/>
                <w:sz w:val="28"/>
              </w:rPr>
              <w:t>天然提取+发酵</w:t>
            </w:r>
          </w:p>
        </w:tc>
        <w:tc>
          <w:tcPr>
            <w:tcW w:type="dxa" w:w="1530"/>
            <w:vAlign w:val="center"/>
            <w:shd w:fill="F5F5F5"/>
          </w:tcPr>
          <w:p>
            <w:pPr>
              <w:spacing w:before="60" w:after="60"/>
              <w:jc w:val="center"/>
            </w:pPr>
            <w:r>
              <w:rPr>
                <w:rFonts w:ascii="仿宋_GB2312" w:hAnsi="仿宋_GB2312" w:eastAsia="仿宋_GB2312"/>
                <w:sz w:val="28"/>
              </w:rPr>
              <w:t>已商业化</w:t>
            </w:r>
          </w:p>
        </w:tc>
      </w:tr>
    </w:tbl>
    <w:p/>
    <w:p>
      <w:pPr>
        <w:spacing w:line="360" w:lineRule="auto" w:before="240" w:after="120"/>
        <w:ind w:firstLine="420"/>
        <w:jc w:val="left"/>
      </w:pPr>
      <w:r>
        <w:rPr>
          <w:rFonts w:ascii="楷体" w:hAnsi="楷体" w:eastAsia="楷体"/>
          <w:b/>
          <w:sz w:val="32"/>
        </w:rPr>
        <w:t>（三）蜂蜜松露甜蛋白的竞争优劣势</w:t>
      </w:r>
    </w:p>
    <w:p>
      <w:pPr>
        <w:spacing w:line="360" w:lineRule="auto"/>
        <w:ind w:firstLine="420"/>
        <w:jc w:val="both"/>
      </w:pPr>
      <w:r>
        <w:rPr>
          <w:rFonts w:ascii="仿宋_GB2312" w:hAnsi="仿宋_GB2312" w:eastAsia="仿宋_GB2312"/>
          <w:b/>
          <w:sz w:val="32"/>
        </w:rPr>
        <w:t>竞争优势：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品类首创性</w:t>
      </w:r>
      <w:r>
        <w:rPr>
          <w:rFonts w:ascii="仿宋_GB2312" w:hAnsi="仿宋_GB2312" w:eastAsia="仿宋_GB2312"/>
          <w:sz w:val="32"/>
        </w:rPr>
        <w:t>：被业界认为是"几十年来发现的第一种新型天然甜味剂"【附件7】。</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口感纯净度</w:t>
      </w:r>
      <w:r>
        <w:rPr>
          <w:rFonts w:ascii="仿宋_GB2312" w:hAnsi="仿宋_GB2312" w:eastAsia="仿宋_GB2312"/>
          <w:sz w:val="32"/>
        </w:rPr>
        <w:t>：与甜菊糖等竞品相比，无不良余味【附件4】。</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安全性数据充分</w:t>
      </w:r>
      <w:r>
        <w:rPr>
          <w:rFonts w:ascii="仿宋_GB2312" w:hAnsi="仿宋_GB2312" w:eastAsia="仿宋_GB2312"/>
          <w:sz w:val="32"/>
        </w:rPr>
        <w:t>：拥有在同行评审期刊（</w:t>
      </w:r>
      <w:r>
        <w:rPr>
          <w:rFonts w:ascii="仿宋_GB2312" w:hAnsi="仿宋_GB2312" w:eastAsia="仿宋_GB2312"/>
          <w:i/>
          <w:sz w:val="32"/>
        </w:rPr>
        <w:t>Food and Chemical Toxicology</w:t>
      </w:r>
      <w:r>
        <w:rPr>
          <w:rFonts w:ascii="仿宋_GB2312" w:hAnsi="仿宋_GB2312" w:eastAsia="仿宋_GB2312"/>
          <w:sz w:val="32"/>
        </w:rPr>
        <w:t>）发表的安全性评价数据【附件3】。</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GLP-1时代契合度</w:t>
      </w:r>
      <w:r>
        <w:rPr>
          <w:rFonts w:ascii="仿宋_GB2312" w:hAnsi="仿宋_GB2312" w:eastAsia="仿宋_GB2312"/>
          <w:sz w:val="32"/>
        </w:rPr>
        <w:t>：不影响血糖水平，适合配合GLP-1类减肥药物的饮食方案【附件5】。</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b/>
          <w:sz w:val="32"/>
        </w:rPr>
        <w:t>独特的故事性</w:t>
      </w:r>
      <w:r>
        <w:rPr>
          <w:rFonts w:ascii="仿宋_GB2312" w:hAnsi="仿宋_GB2312" w:eastAsia="仿宋_GB2312"/>
          <w:sz w:val="32"/>
        </w:rPr>
        <w:t>：源自稀有蜂蜜松露，具有天然的消费者吸引力。</w:t>
      </w:r>
    </w:p>
    <w:p>
      <w:pPr>
        <w:spacing w:line="360" w:lineRule="auto"/>
        <w:ind w:firstLine="420"/>
        <w:jc w:val="both"/>
      </w:pPr>
      <w:r>
        <w:rPr>
          <w:rFonts w:ascii="仿宋_GB2312" w:hAnsi="仿宋_GB2312" w:eastAsia="仿宋_GB2312"/>
          <w:b/>
          <w:sz w:val="32"/>
        </w:rPr>
        <w:t>竞争劣势：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生产成本较高</w:t>
      </w:r>
      <w:r>
        <w:rPr>
          <w:rFonts w:ascii="仿宋_GB2312" w:hAnsi="仿宋_GB2312" w:eastAsia="仿宋_GB2312"/>
          <w:sz w:val="32"/>
        </w:rPr>
        <w:t>：精密发酵工艺的初期成本高于传统提取或化学合成。</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市场认知度低</w:t>
      </w:r>
      <w:r>
        <w:rPr>
          <w:rFonts w:ascii="仿宋_GB2312" w:hAnsi="仿宋_GB2312" w:eastAsia="仿宋_GB2312"/>
          <w:sz w:val="32"/>
        </w:rPr>
        <w:t>：作为全新品类，消费者教育和市场推广需大量投入。</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监管审批待完善</w:t>
      </w:r>
      <w:r>
        <w:rPr>
          <w:rFonts w:ascii="仿宋_GB2312" w:hAnsi="仿宋_GB2312" w:eastAsia="仿宋_GB2312"/>
          <w:sz w:val="32"/>
        </w:rPr>
        <w:t>：除美国自确认GRAS外，欧盟、中国、日本等主要市场的审批尚在推进中。</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热稳定性局限</w:t>
      </w:r>
      <w:r>
        <w:rPr>
          <w:rFonts w:ascii="仿宋_GB2312" w:hAnsi="仿宋_GB2312" w:eastAsia="仿宋_GB2312"/>
          <w:sz w:val="32"/>
        </w:rPr>
        <w:t>：蛋白质类甜味剂在高温和酸性条件下的稳定性需要持续优化。</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b/>
          <w:sz w:val="32"/>
        </w:rPr>
        <w:t>产能尚未充足</w:t>
      </w:r>
      <w:r>
        <w:rPr>
          <w:rFonts w:ascii="仿宋_GB2312" w:hAnsi="仿宋_GB2312" w:eastAsia="仿宋_GB2312"/>
          <w:sz w:val="32"/>
        </w:rPr>
        <w:t>：当前生产规模有限，尚不能满足大规模市场供应需求。</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四、市场规模与增长预测</w:t>
      </w:r>
    </w:p>
    <w:p>
      <w:pPr>
        <w:spacing w:line="360" w:lineRule="auto" w:before="240" w:after="120"/>
        <w:ind w:firstLine="420"/>
        <w:jc w:val="left"/>
      </w:pPr>
      <w:r>
        <w:rPr>
          <w:rFonts w:ascii="楷体" w:hAnsi="楷体" w:eastAsia="楷体"/>
          <w:b/>
          <w:sz w:val="32"/>
        </w:rPr>
        <w:t>（一）全球甜味蛋白市场总体规模</w:t>
      </w:r>
    </w:p>
    <w:p>
      <w:pPr>
        <w:spacing w:line="360" w:lineRule="auto"/>
        <w:ind w:firstLine="420"/>
        <w:jc w:val="both"/>
      </w:pPr>
      <w:r>
        <w:rPr>
          <w:rFonts w:ascii="仿宋_GB2312" w:hAnsi="仿宋_GB2312" w:eastAsia="仿宋_GB2312"/>
          <w:sz w:val="32"/>
        </w:rPr>
        <w:t>根据国际市场研究机构Persistence Market Research于2026年3月发布的报告【附件8】：</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指标</w:t>
            </w:r>
          </w:p>
        </w:tc>
        <w:tc>
          <w:tcPr>
            <w:tcW w:type="dxa" w:w="4589"/>
            <w:shd w:fill="000000"/>
            <w:vAlign w:val="center"/>
          </w:tcPr>
          <w:p>
            <w:pPr>
              <w:spacing w:before="60" w:after="60"/>
              <w:jc w:val="center"/>
            </w:pPr>
            <w:r>
              <w:rPr>
                <w:rFonts w:ascii="仿宋_GB2312" w:hAnsi="仿宋_GB2312" w:eastAsia="仿宋_GB2312"/>
                <w:b/>
                <w:color w:val="FFFFFF"/>
                <w:sz w:val="28"/>
              </w:rPr>
              <w:t>数据</w:t>
            </w:r>
          </w:p>
        </w:tc>
      </w:tr>
      <w:tr>
        <w:tc>
          <w:tcPr>
            <w:tcW w:type="dxa" w:w="4589"/>
            <w:vAlign w:val="center"/>
          </w:tcPr>
          <w:p>
            <w:pPr>
              <w:spacing w:before="60" w:after="60"/>
              <w:jc w:val="center"/>
            </w:pPr>
            <w:r>
              <w:rPr>
                <w:rFonts w:ascii="仿宋_GB2312" w:hAnsi="仿宋_GB2312" w:eastAsia="仿宋_GB2312"/>
                <w:sz w:val="28"/>
              </w:rPr>
              <w:t>2026年市场规模</w:t>
            </w:r>
          </w:p>
        </w:tc>
        <w:tc>
          <w:tcPr>
            <w:tcW w:type="dxa" w:w="4589"/>
            <w:vAlign w:val="center"/>
          </w:tcPr>
          <w:p>
            <w:pPr>
              <w:spacing w:before="60" w:after="60"/>
              <w:jc w:val="center"/>
            </w:pPr>
            <w:r>
              <w:rPr>
                <w:rFonts w:ascii="仿宋_GB2312" w:hAnsi="仿宋_GB2312" w:eastAsia="仿宋_GB2312"/>
                <w:sz w:val="28"/>
              </w:rPr>
              <w:t>1340万美元</w:t>
            </w:r>
          </w:p>
        </w:tc>
      </w:tr>
      <w:tr>
        <w:tc>
          <w:tcPr>
            <w:tcW w:type="dxa" w:w="4589"/>
            <w:vAlign w:val="center"/>
            <w:shd w:fill="F5F5F5"/>
          </w:tcPr>
          <w:p>
            <w:pPr>
              <w:spacing w:before="60" w:after="60"/>
              <w:jc w:val="center"/>
            </w:pPr>
            <w:r>
              <w:rPr>
                <w:rFonts w:ascii="仿宋_GB2312" w:hAnsi="仿宋_GB2312" w:eastAsia="仿宋_GB2312"/>
                <w:sz w:val="28"/>
              </w:rPr>
              <w:t>2033年预计市场规模</w:t>
            </w:r>
          </w:p>
        </w:tc>
        <w:tc>
          <w:tcPr>
            <w:tcW w:type="dxa" w:w="4589"/>
            <w:vAlign w:val="center"/>
            <w:shd w:fill="F5F5F5"/>
          </w:tcPr>
          <w:p>
            <w:pPr>
              <w:spacing w:before="60" w:after="60"/>
              <w:jc w:val="center"/>
            </w:pPr>
            <w:r>
              <w:rPr>
                <w:rFonts w:ascii="仿宋_GB2312" w:hAnsi="仿宋_GB2312" w:eastAsia="仿宋_GB2312"/>
                <w:sz w:val="28"/>
              </w:rPr>
              <w:t>2660万美元</w:t>
            </w:r>
          </w:p>
        </w:tc>
      </w:tr>
      <w:tr>
        <w:tc>
          <w:tcPr>
            <w:tcW w:type="dxa" w:w="4589"/>
            <w:vAlign w:val="center"/>
          </w:tcPr>
          <w:p>
            <w:pPr>
              <w:spacing w:before="60" w:after="60"/>
              <w:jc w:val="center"/>
            </w:pPr>
            <w:r>
              <w:rPr>
                <w:rFonts w:ascii="仿宋_GB2312" w:hAnsi="仿宋_GB2312" w:eastAsia="仿宋_GB2312"/>
                <w:sz w:val="28"/>
              </w:rPr>
              <w:t>复合年增长率（CAGR）</w:t>
            </w:r>
          </w:p>
        </w:tc>
        <w:tc>
          <w:tcPr>
            <w:tcW w:type="dxa" w:w="4589"/>
            <w:vAlign w:val="center"/>
          </w:tcPr>
          <w:p>
            <w:pPr>
              <w:spacing w:before="60" w:after="60"/>
              <w:jc w:val="center"/>
            </w:pPr>
            <w:r>
              <w:rPr>
                <w:rFonts w:ascii="仿宋_GB2312" w:hAnsi="仿宋_GB2312" w:eastAsia="仿宋_GB2312"/>
                <w:sz w:val="28"/>
              </w:rPr>
              <w:t>10.3%</w:t>
            </w:r>
          </w:p>
        </w:tc>
      </w:tr>
      <w:tr>
        <w:tc>
          <w:tcPr>
            <w:tcW w:type="dxa" w:w="4589"/>
            <w:vAlign w:val="center"/>
            <w:shd w:fill="F5F5F5"/>
          </w:tcPr>
          <w:p>
            <w:pPr>
              <w:spacing w:before="60" w:after="60"/>
              <w:jc w:val="center"/>
            </w:pPr>
            <w:r>
              <w:rPr>
                <w:rFonts w:ascii="仿宋_GB2312" w:hAnsi="仿宋_GB2312" w:eastAsia="仿宋_GB2312"/>
                <w:sz w:val="28"/>
              </w:rPr>
              <w:t>预测期间</w:t>
            </w:r>
          </w:p>
        </w:tc>
        <w:tc>
          <w:tcPr>
            <w:tcW w:type="dxa" w:w="4589"/>
            <w:vAlign w:val="center"/>
            <w:shd w:fill="F5F5F5"/>
          </w:tcPr>
          <w:p>
            <w:pPr>
              <w:spacing w:before="60" w:after="60"/>
              <w:jc w:val="center"/>
            </w:pPr>
            <w:r>
              <w:rPr>
                <w:rFonts w:ascii="仿宋_GB2312" w:hAnsi="仿宋_GB2312" w:eastAsia="仿宋_GB2312"/>
                <w:sz w:val="28"/>
              </w:rPr>
              <w:t>2026年—2033年</w:t>
            </w:r>
          </w:p>
        </w:tc>
      </w:tr>
    </w:tbl>
    <w:p/>
    <w:p>
      <w:pPr>
        <w:spacing w:line="360" w:lineRule="auto" w:before="240" w:after="120"/>
        <w:ind w:firstLine="420"/>
        <w:jc w:val="left"/>
      </w:pPr>
      <w:r>
        <w:rPr>
          <w:rFonts w:ascii="楷体" w:hAnsi="楷体" w:eastAsia="楷体"/>
          <w:b/>
          <w:sz w:val="32"/>
        </w:rPr>
        <w:t>（二）市场增长驱动因素</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健康意识持续提升</w:t>
      </w:r>
      <w:r>
        <w:rPr>
          <w:rFonts w:ascii="仿宋_GB2312" w:hAnsi="仿宋_GB2312" w:eastAsia="仿宋_GB2312"/>
          <w:sz w:val="32"/>
        </w:rPr>
        <w:t>：世界卫生组织（WHO）建议将游离糖摄入量降至每日总热量的10%以下，理想目标为5%以下，推动食品企业寻求替代方案【附件3】。</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监管政策趋严</w:t>
      </w:r>
      <w:r>
        <w:rPr>
          <w:rFonts w:ascii="仿宋_GB2312" w:hAnsi="仿宋_GB2312" w:eastAsia="仿宋_GB2312"/>
          <w:sz w:val="32"/>
        </w:rPr>
        <w:t>：全球多国实施糖税政策，促进低糖/无糖产品的开发与推广【附件8】。</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清洁标签运动深入</w:t>
      </w:r>
      <w:r>
        <w:rPr>
          <w:rFonts w:ascii="仿宋_GB2312" w:hAnsi="仿宋_GB2312" w:eastAsia="仿宋_GB2312"/>
          <w:sz w:val="32"/>
        </w:rPr>
        <w:t>：消费者日益倾向于选择天然、配料简单的食品，天然甜味蛋白符合这一趋势【附件7】。</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GLP-1药物市场爆发</w:t>
      </w:r>
      <w:r>
        <w:rPr>
          <w:rFonts w:ascii="仿宋_GB2312" w:hAnsi="仿宋_GB2312" w:eastAsia="仿宋_GB2312"/>
          <w:sz w:val="32"/>
        </w:rPr>
        <w:t>：GLP-1受体激动剂类减肥药的广泛应用，催生了"减肥友好型"食品配方的巨大需求，甜味蛋白因不影响血糖、有益肠道健康而受益显著【附件5】。</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b/>
          <w:sz w:val="32"/>
        </w:rPr>
        <w:t>技术成熟推动成本下降</w:t>
      </w:r>
      <w:r>
        <w:rPr>
          <w:rFonts w:ascii="仿宋_GB2312" w:hAnsi="仿宋_GB2312" w:eastAsia="仿宋_GB2312"/>
          <w:sz w:val="32"/>
        </w:rPr>
        <w:t>：精密发酵技术的持续进步和规模化生产，正在降低甜味蛋白的生产成本。</w:t>
      </w:r>
    </w:p>
    <w:p>
      <w:pPr>
        <w:spacing w:line="360" w:lineRule="auto" w:before="240" w:after="120"/>
        <w:ind w:firstLine="420"/>
        <w:jc w:val="left"/>
      </w:pPr>
      <w:r>
        <w:rPr>
          <w:rFonts w:ascii="楷体" w:hAnsi="楷体" w:eastAsia="楷体"/>
          <w:b/>
          <w:sz w:val="32"/>
        </w:rPr>
        <w:t>（三）蜂蜜松露甜蛋白市场前景预测</w:t>
      </w:r>
    </w:p>
    <w:p>
      <w:pPr>
        <w:spacing w:line="360" w:lineRule="auto"/>
        <w:ind w:firstLine="420"/>
        <w:jc w:val="both"/>
      </w:pPr>
      <w:r>
        <w:rPr>
          <w:rFonts w:ascii="仿宋_GB2312" w:hAnsi="仿宋_GB2312" w:eastAsia="仿宋_GB2312"/>
          <w:sz w:val="32"/>
        </w:rPr>
        <w:t>基于行业数据合理推断：</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初期阶段（2026—2028年）</w:t>
      </w:r>
      <w:r>
        <w:rPr>
          <w:rFonts w:ascii="仿宋_GB2312" w:hAnsi="仿宋_GB2312" w:eastAsia="仿宋_GB2312"/>
          <w:sz w:val="32"/>
        </w:rPr>
        <w:t>：Zukora刚进入市场，主要面向高端食品饮料品牌，预计在甜味蛋白市场中占据5%—10%的份额。</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成长期（2028—2030年）</w:t>
      </w:r>
      <w:r>
        <w:rPr>
          <w:rFonts w:ascii="仿宋_GB2312" w:hAnsi="仿宋_GB2312" w:eastAsia="仿宋_GB2312"/>
          <w:sz w:val="32"/>
        </w:rPr>
        <w:t>：产能扩大、成本下降、多国监管获批后，预计市场份额提升至15%—20%，年增长率可达15%—25%。</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成熟期（2030年后）</w:t>
      </w:r>
      <w:r>
        <w:rPr>
          <w:rFonts w:ascii="仿宋_GB2312" w:hAnsi="仿宋_GB2312" w:eastAsia="仿宋_GB2312"/>
          <w:sz w:val="32"/>
        </w:rPr>
        <w:t>：若技术持续突破且市场接受度良好，有望成为甜味蛋白市场的主要参与者之一。</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五、监管审批现状</w:t>
      </w:r>
    </w:p>
    <w:p>
      <w:pPr>
        <w:spacing w:line="360" w:lineRule="auto"/>
        <w:ind w:firstLine="420"/>
        <w:jc w:val="both"/>
      </w:pPr>
      <w:r>
        <w:rPr>
          <w:rFonts w:ascii="仿宋_GB2312" w:hAnsi="仿宋_GB2312" w:eastAsia="仿宋_GB2312"/>
          <w:sz w:val="32"/>
        </w:rPr>
        <w:t>（一）美国市场</w:t>
      </w:r>
    </w:p>
    <w:p>
      <w:pPr>
        <w:spacing w:line="360" w:lineRule="auto"/>
        <w:ind w:firstLine="420"/>
        <w:jc w:val="both"/>
      </w:pPr>
      <w:r>
        <w:rPr>
          <w:rFonts w:ascii="仿宋_GB2312" w:hAnsi="仿宋_GB2312" w:eastAsia="仿宋_GB2312"/>
          <w:sz w:val="32"/>
        </w:rPr>
        <w:t>MycoTechnology已于2026年月获得</w:t>
      </w:r>
      <w:r>
        <w:rPr>
          <w:rFonts w:ascii="仿宋_GB2312" w:hAnsi="仿宋_GB2312" w:eastAsia="仿宋_GB2312"/>
          <w:b/>
          <w:sz w:val="32"/>
        </w:rPr>
        <w:t>自确认GRAS</w:t>
      </w:r>
      <w:r>
        <w:rPr>
          <w:rFonts w:ascii="仿宋_GB2312" w:hAnsi="仿宋_GB2312" w:eastAsia="仿宋_GB2312"/>
          <w:sz w:val="32"/>
        </w:rPr>
        <w:t>（Self-affirmed Generally Recognized as Safe）身份，产品Zukora可合法进入美国市场销售。同时，公司已向FDA提交正式GRAS通知，预计FDA出具"无问题"函件需9至18个月【附件5】。</w:t>
      </w:r>
    </w:p>
    <w:p>
      <w:pPr>
        <w:spacing w:line="360" w:lineRule="auto" w:before="240" w:after="120"/>
        <w:ind w:firstLine="420"/>
        <w:jc w:val="left"/>
      </w:pPr>
      <w:r>
        <w:rPr>
          <w:rFonts w:ascii="楷体" w:hAnsi="楷体" w:eastAsia="楷体"/>
          <w:b/>
          <w:sz w:val="32"/>
        </w:rPr>
        <w:t>（二）欧盟市场</w:t>
      </w:r>
    </w:p>
    <w:p>
      <w:pPr>
        <w:spacing w:line="360" w:lineRule="auto"/>
        <w:ind w:firstLine="420"/>
        <w:jc w:val="both"/>
      </w:pPr>
      <w:r>
        <w:rPr>
          <w:rFonts w:ascii="仿宋_GB2312" w:hAnsi="仿宋_GB2312" w:eastAsia="仿宋_GB2312"/>
          <w:sz w:val="32"/>
        </w:rPr>
        <w:t>MycoTechnology旗下菌丝体产品FermentIQ™系列此前已获得欧盟"新型食品"（Novel Food）授权。蜂蜜松露甜蛋白在欧盟的审批需单独提交新型食品申请，目前尚未有公开信息显示具体进展。</w:t>
      </w:r>
    </w:p>
    <w:p>
      <w:pPr>
        <w:spacing w:line="360" w:lineRule="auto" w:before="240" w:after="120"/>
        <w:ind w:firstLine="420"/>
        <w:jc w:val="left"/>
      </w:pPr>
      <w:r>
        <w:rPr>
          <w:rFonts w:ascii="楷体" w:hAnsi="楷体" w:eastAsia="楷体"/>
          <w:b/>
          <w:sz w:val="32"/>
        </w:rPr>
        <w:t>（三）中国市场</w:t>
      </w:r>
    </w:p>
    <w:p>
      <w:pPr>
        <w:spacing w:line="360" w:lineRule="auto"/>
        <w:ind w:firstLine="420"/>
        <w:jc w:val="both"/>
      </w:pPr>
      <w:r>
        <w:rPr>
          <w:rFonts w:ascii="仿宋_GB2312" w:hAnsi="仿宋_GB2312" w:eastAsia="仿宋_GB2312"/>
          <w:sz w:val="32"/>
        </w:rPr>
        <w:t>蜂蜜松露甜蛋白作为新型食品原料，需按照《食品安全法》及相关法规向国家卫生健康委员会提交安全性评价资料。鉴于中国对新型食品原料的审慎态度，预计审批周期较长。</w:t>
      </w:r>
    </w:p>
    <w:p>
      <w:pPr>
        <w:spacing w:line="360" w:lineRule="auto" w:before="240" w:after="120"/>
        <w:ind w:firstLine="420"/>
        <w:jc w:val="left"/>
      </w:pPr>
      <w:r>
        <w:rPr>
          <w:rFonts w:ascii="楷体" w:hAnsi="楷体" w:eastAsia="楷体"/>
          <w:b/>
          <w:sz w:val="32"/>
        </w:rPr>
        <w:t>（四）其他市场</w:t>
      </w:r>
    </w:p>
    <w:p>
      <w:pPr>
        <w:spacing w:line="360" w:lineRule="auto"/>
        <w:ind w:firstLine="420"/>
        <w:jc w:val="both"/>
      </w:pPr>
      <w:r>
        <w:rPr>
          <w:rFonts w:ascii="仿宋_GB2312" w:hAnsi="仿宋_GB2312" w:eastAsia="仿宋_GB2312"/>
          <w:sz w:val="32"/>
        </w:rPr>
        <w:t>日本、韩国、澳大利亚、巴西等主要食品市场同样需要分别提交相应的食品添加剂或新型食品审批申请。</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六、主要企业分析——MycoTechnology公司</w:t>
      </w:r>
    </w:p>
    <w:p>
      <w:pPr>
        <w:spacing w:line="360" w:lineRule="auto" w:before="240" w:after="120"/>
        <w:ind w:firstLine="420"/>
        <w:jc w:val="left"/>
      </w:pPr>
      <w:r>
        <w:rPr>
          <w:rFonts w:ascii="楷体" w:hAnsi="楷体" w:eastAsia="楷体"/>
          <w:b/>
          <w:sz w:val="32"/>
        </w:rPr>
        <w:t>（一）公司概况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89"/>
        <w:gridCol w:w="4589"/>
      </w:tblGrid>
      <w:tr>
        <w:tc>
          <w:tcPr>
            <w:tcW w:type="dxa" w:w="4589"/>
            <w:shd w:fill="000000"/>
            <w:vAlign w:val="center"/>
          </w:tcPr>
          <w:p>
            <w:pPr>
              <w:spacing w:before="60" w:after="60"/>
              <w:jc w:val="center"/>
            </w:pPr>
            <w:r>
              <w:rPr>
                <w:rFonts w:ascii="仿宋_GB2312" w:hAnsi="仿宋_GB2312" w:eastAsia="仿宋_GB2312"/>
                <w:b/>
                <w:color w:val="FFFFFF"/>
                <w:sz w:val="28"/>
              </w:rPr>
              <w:t>项目</w:t>
            </w:r>
          </w:p>
        </w:tc>
        <w:tc>
          <w:tcPr>
            <w:tcW w:type="dxa" w:w="4589"/>
            <w:shd w:fill="000000"/>
            <w:vAlign w:val="center"/>
          </w:tcPr>
          <w:p>
            <w:pPr>
              <w:spacing w:before="60" w:after="60"/>
              <w:jc w:val="center"/>
            </w:pPr>
            <w:r>
              <w:rPr>
                <w:rFonts w:ascii="仿宋_GB2312" w:hAnsi="仿宋_GB2312" w:eastAsia="仿宋_GB2312"/>
                <w:b/>
                <w:color w:val="FFFFFF"/>
                <w:sz w:val="28"/>
              </w:rPr>
              <w:t>信息</w:t>
            </w:r>
          </w:p>
        </w:tc>
      </w:tr>
      <w:tr>
        <w:tc>
          <w:tcPr>
            <w:tcW w:type="dxa" w:w="4589"/>
            <w:vAlign w:val="center"/>
          </w:tcPr>
          <w:p>
            <w:pPr>
              <w:spacing w:before="60" w:after="60"/>
              <w:jc w:val="center"/>
            </w:pPr>
            <w:r>
              <w:rPr>
                <w:rFonts w:ascii="仿宋_GB2312" w:hAnsi="仿宋_GB2312" w:eastAsia="仿宋_GB2312"/>
                <w:sz w:val="28"/>
              </w:rPr>
              <w:t>公司名称</w:t>
            </w:r>
          </w:p>
        </w:tc>
        <w:tc>
          <w:tcPr>
            <w:tcW w:type="dxa" w:w="4589"/>
            <w:vAlign w:val="center"/>
          </w:tcPr>
          <w:p>
            <w:pPr>
              <w:spacing w:before="60" w:after="60"/>
              <w:jc w:val="center"/>
            </w:pPr>
            <w:r>
              <w:rPr>
                <w:rFonts w:ascii="仿宋_GB2312" w:hAnsi="仿宋_GB2312" w:eastAsia="仿宋_GB2312"/>
                <w:sz w:val="28"/>
              </w:rPr>
              <w:t>MycoTechnology, Inc.</w:t>
            </w:r>
          </w:p>
        </w:tc>
      </w:tr>
      <w:tr>
        <w:tc>
          <w:tcPr>
            <w:tcW w:type="dxa" w:w="4589"/>
            <w:vAlign w:val="center"/>
            <w:shd w:fill="F5F5F5"/>
          </w:tcPr>
          <w:p>
            <w:pPr>
              <w:spacing w:before="60" w:after="60"/>
              <w:jc w:val="center"/>
            </w:pPr>
            <w:r>
              <w:rPr>
                <w:rFonts w:ascii="仿宋_GB2312" w:hAnsi="仿宋_GB2312" w:eastAsia="仿宋_GB2312"/>
                <w:sz w:val="28"/>
              </w:rPr>
              <w:t>成立时间</w:t>
            </w:r>
          </w:p>
        </w:tc>
        <w:tc>
          <w:tcPr>
            <w:tcW w:type="dxa" w:w="4589"/>
            <w:vAlign w:val="center"/>
            <w:shd w:fill="F5F5F5"/>
          </w:tcPr>
          <w:p>
            <w:pPr>
              <w:spacing w:before="60" w:after="60"/>
              <w:jc w:val="center"/>
            </w:pPr>
            <w:r>
              <w:rPr>
                <w:rFonts w:ascii="仿宋_GB2312" w:hAnsi="仿宋_GB2312" w:eastAsia="仿宋_GB2312"/>
                <w:sz w:val="28"/>
              </w:rPr>
              <w:t>2013年</w:t>
            </w:r>
          </w:p>
        </w:tc>
      </w:tr>
      <w:tr>
        <w:tc>
          <w:tcPr>
            <w:tcW w:type="dxa" w:w="4589"/>
            <w:vAlign w:val="center"/>
          </w:tcPr>
          <w:p>
            <w:pPr>
              <w:spacing w:before="60" w:after="60"/>
              <w:jc w:val="center"/>
            </w:pPr>
            <w:r>
              <w:rPr>
                <w:rFonts w:ascii="仿宋_GB2312" w:hAnsi="仿宋_GB2312" w:eastAsia="仿宋_GB2312"/>
                <w:sz w:val="28"/>
              </w:rPr>
              <w:t>总部所在地</w:t>
            </w:r>
          </w:p>
        </w:tc>
        <w:tc>
          <w:tcPr>
            <w:tcW w:type="dxa" w:w="4589"/>
            <w:vAlign w:val="center"/>
          </w:tcPr>
          <w:p>
            <w:pPr>
              <w:spacing w:before="60" w:after="60"/>
              <w:jc w:val="center"/>
            </w:pPr>
            <w:r>
              <w:rPr>
                <w:rFonts w:ascii="仿宋_GB2312" w:hAnsi="仿宋_GB2312" w:eastAsia="仿宋_GB2312"/>
                <w:sz w:val="28"/>
              </w:rPr>
              <w:t>美国科罗拉多州</w:t>
            </w:r>
          </w:p>
        </w:tc>
      </w:tr>
      <w:tr>
        <w:tc>
          <w:tcPr>
            <w:tcW w:type="dxa" w:w="4589"/>
            <w:vAlign w:val="center"/>
            <w:shd w:fill="F5F5F5"/>
          </w:tcPr>
          <w:p>
            <w:pPr>
              <w:spacing w:before="60" w:after="60"/>
              <w:jc w:val="center"/>
            </w:pPr>
            <w:r>
              <w:rPr>
                <w:rFonts w:ascii="仿宋_GB2312" w:hAnsi="仿宋_GB2312" w:eastAsia="仿宋_GB2312"/>
                <w:sz w:val="28"/>
              </w:rPr>
              <w:t>核心业务</w:t>
            </w:r>
          </w:p>
        </w:tc>
        <w:tc>
          <w:tcPr>
            <w:tcW w:type="dxa" w:w="4589"/>
            <w:vAlign w:val="center"/>
            <w:shd w:fill="F5F5F5"/>
          </w:tcPr>
          <w:p>
            <w:pPr>
              <w:spacing w:before="60" w:after="60"/>
              <w:jc w:val="center"/>
            </w:pPr>
            <w:r>
              <w:rPr>
                <w:rFonts w:ascii="仿宋_GB2312" w:hAnsi="仿宋_GB2312" w:eastAsia="仿宋_GB2312"/>
                <w:sz w:val="28"/>
              </w:rPr>
              <w:t>基于蘑菇菌丝体的发酵技术研发与天然食品成分生产</w:t>
            </w:r>
          </w:p>
        </w:tc>
      </w:tr>
      <w:tr>
        <w:tc>
          <w:tcPr>
            <w:tcW w:type="dxa" w:w="4589"/>
            <w:vAlign w:val="center"/>
          </w:tcPr>
          <w:p>
            <w:pPr>
              <w:spacing w:before="60" w:after="60"/>
              <w:jc w:val="center"/>
            </w:pPr>
            <w:r>
              <w:rPr>
                <w:rFonts w:ascii="仿宋_GB2312" w:hAnsi="仿宋_GB2312" w:eastAsia="仿宋_GB2312"/>
                <w:sz w:val="28"/>
              </w:rPr>
              <w:t>累计融资</w:t>
            </w:r>
          </w:p>
        </w:tc>
        <w:tc>
          <w:tcPr>
            <w:tcW w:type="dxa" w:w="4589"/>
            <w:vAlign w:val="center"/>
          </w:tcPr>
          <w:p>
            <w:pPr>
              <w:spacing w:before="60" w:after="60"/>
              <w:jc w:val="center"/>
            </w:pPr>
            <w:r>
              <w:rPr>
                <w:rFonts w:ascii="仿宋_GB2312" w:hAnsi="仿宋_GB2312" w:eastAsia="仿宋_GB2312"/>
                <w:sz w:val="28"/>
              </w:rPr>
              <w:t>约2.2亿美元【附件2】</w:t>
            </w:r>
          </w:p>
        </w:tc>
      </w:tr>
      <w:tr>
        <w:tc>
          <w:tcPr>
            <w:tcW w:type="dxa" w:w="4589"/>
            <w:vAlign w:val="center"/>
            <w:shd w:fill="F5F5F5"/>
          </w:tcPr>
          <w:p>
            <w:pPr>
              <w:spacing w:before="60" w:after="60"/>
              <w:jc w:val="center"/>
            </w:pPr>
            <w:r>
              <w:rPr>
                <w:rFonts w:ascii="仿宋_GB2312" w:hAnsi="仿宋_GB2312" w:eastAsia="仿宋_GB2312"/>
                <w:sz w:val="28"/>
              </w:rPr>
              <w:t>工厂面积</w:t>
            </w:r>
          </w:p>
        </w:tc>
        <w:tc>
          <w:tcPr>
            <w:tcW w:type="dxa" w:w="4589"/>
            <w:vAlign w:val="center"/>
            <w:shd w:fill="F5F5F5"/>
          </w:tcPr>
          <w:p>
            <w:pPr>
              <w:spacing w:before="60" w:after="60"/>
              <w:jc w:val="center"/>
            </w:pPr>
            <w:r>
              <w:rPr>
                <w:rFonts w:ascii="仿宋_GB2312" w:hAnsi="仿宋_GB2312" w:eastAsia="仿宋_GB2312"/>
                <w:sz w:val="28"/>
              </w:rPr>
              <w:t>86,000平方英尺</w:t>
            </w:r>
          </w:p>
        </w:tc>
      </w:tr>
      <w:tr>
        <w:tc>
          <w:tcPr>
            <w:tcW w:type="dxa" w:w="4589"/>
            <w:vAlign w:val="center"/>
          </w:tcPr>
          <w:p>
            <w:pPr>
              <w:spacing w:before="60" w:after="60"/>
              <w:jc w:val="center"/>
            </w:pPr>
            <w:r>
              <w:rPr>
                <w:rFonts w:ascii="仿宋_GB2312" w:hAnsi="仿宋_GB2312" w:eastAsia="仿宋_GB2312"/>
                <w:sz w:val="28"/>
              </w:rPr>
              <w:t>CEO</w:t>
            </w:r>
          </w:p>
        </w:tc>
        <w:tc>
          <w:tcPr>
            <w:tcW w:type="dxa" w:w="4589"/>
            <w:vAlign w:val="center"/>
          </w:tcPr>
          <w:p>
            <w:pPr>
              <w:spacing w:before="60" w:after="60"/>
              <w:jc w:val="center"/>
            </w:pPr>
            <w:r>
              <w:rPr>
                <w:rFonts w:ascii="仿宋_GB2312" w:hAnsi="仿宋_GB2312" w:eastAsia="仿宋_GB2312"/>
                <w:sz w:val="28"/>
              </w:rPr>
              <w:t>Jordi Ferre（现任）【附件5】</w:t>
            </w:r>
          </w:p>
        </w:tc>
      </w:tr>
      <w:tr>
        <w:tc>
          <w:tcPr>
            <w:tcW w:type="dxa" w:w="4589"/>
            <w:vAlign w:val="center"/>
            <w:shd w:fill="F5F5F5"/>
          </w:tcPr>
          <w:p>
            <w:pPr>
              <w:spacing w:before="60" w:after="60"/>
              <w:jc w:val="center"/>
            </w:pPr>
            <w:r>
              <w:rPr>
                <w:rFonts w:ascii="仿宋_GB2312" w:hAnsi="仿宋_GB2312" w:eastAsia="仿宋_GB2312"/>
                <w:sz w:val="28"/>
              </w:rPr>
              <w:t>CTO</w:t>
            </w:r>
          </w:p>
        </w:tc>
        <w:tc>
          <w:tcPr>
            <w:tcW w:type="dxa" w:w="4589"/>
            <w:vAlign w:val="center"/>
            <w:shd w:fill="F5F5F5"/>
          </w:tcPr>
          <w:p>
            <w:pPr>
              <w:spacing w:before="60" w:after="60"/>
              <w:jc w:val="center"/>
            </w:pPr>
            <w:r>
              <w:rPr>
                <w:rFonts w:ascii="仿宋_GB2312" w:hAnsi="仿宋_GB2312" w:eastAsia="仿宋_GB2312"/>
                <w:sz w:val="28"/>
              </w:rPr>
              <w:t>Ranjan Patnaik【附件2】</w:t>
            </w:r>
          </w:p>
        </w:tc>
      </w:tr>
      <w:tr>
        <w:tc>
          <w:tcPr>
            <w:tcW w:type="dxa" w:w="4589"/>
            <w:vAlign w:val="center"/>
          </w:tcPr>
          <w:p>
            <w:pPr>
              <w:spacing w:before="60" w:after="60"/>
              <w:jc w:val="center"/>
            </w:pPr>
            <w:r>
              <w:rPr>
                <w:rFonts w:ascii="仿宋_GB2312" w:hAnsi="仿宋_GB2312" w:eastAsia="仿宋_GB2312"/>
                <w:sz w:val="28"/>
              </w:rPr>
              <w:t>核心技术</w:t>
            </w:r>
          </w:p>
        </w:tc>
        <w:tc>
          <w:tcPr>
            <w:tcW w:type="dxa" w:w="4589"/>
            <w:vAlign w:val="center"/>
          </w:tcPr>
          <w:p>
            <w:pPr>
              <w:spacing w:before="60" w:after="60"/>
              <w:jc w:val="center"/>
            </w:pPr>
            <w:r>
              <w:rPr>
                <w:rFonts w:ascii="仿宋_GB2312" w:hAnsi="仿宋_GB2312" w:eastAsia="仿宋_GB2312"/>
                <w:sz w:val="28"/>
              </w:rPr>
              <w:t>深层发酵（Submerged Fermentation）、FAAS发酵即服务平台</w:t>
            </w:r>
          </w:p>
        </w:tc>
      </w:tr>
    </w:tbl>
    <w:p/>
    <w:p>
      <w:pPr>
        <w:spacing w:line="360" w:lineRule="auto" w:before="240" w:after="120"/>
        <w:ind w:firstLine="420"/>
        <w:jc w:val="left"/>
      </w:pPr>
      <w:r>
        <w:rPr>
          <w:rFonts w:ascii="楷体" w:hAnsi="楷体" w:eastAsia="楷体"/>
          <w:b/>
          <w:sz w:val="32"/>
        </w:rPr>
        <w:t>（二）产品矩阵</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Zukora</w:t>
      </w:r>
      <w:r>
        <w:rPr>
          <w:rFonts w:ascii="仿宋_GB2312" w:hAnsi="仿宋_GB2312" w:eastAsia="仿宋_GB2312"/>
          <w:sz w:val="32"/>
        </w:rPr>
        <w:t>（蜂蜜松露甜味蛋白）——最新商业化的旗舰产品，定位为糖和人造甜味剂的革命性替代品。</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b/>
          <w:sz w:val="32"/>
        </w:rPr>
        <w:t>ClearIQ™</w:t>
      </w:r>
      <w:r>
        <w:rPr>
          <w:rFonts w:ascii="仿宋_GB2312" w:hAnsi="仿宋_GB2312" w:eastAsia="仿宋_GB2312"/>
          <w:sz w:val="32"/>
        </w:rPr>
        <w:t>——天然风味调节剂，可减少苦味和涩味，增强水果和放纵风味，应用于植物性食品和能量饮料【附件2】。</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b/>
          <w:sz w:val="32"/>
        </w:rPr>
        <w:t>ClearHT</w:t>
      </w:r>
      <w:r>
        <w:rPr>
          <w:rFonts w:ascii="仿宋_GB2312" w:hAnsi="仿宋_GB2312" w:eastAsia="仿宋_GB2312"/>
          <w:sz w:val="32"/>
        </w:rPr>
        <w:t>——风味增强剂，可增强特定风味感知、延长清凉感、减少焦糊/烟熏/化学味道。</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b/>
          <w:sz w:val="32"/>
        </w:rPr>
        <w:t>FermentIQ™</w:t>
      </w:r>
      <w:r>
        <w:rPr>
          <w:rFonts w:ascii="仿宋_GB2312" w:hAnsi="仿宋_GB2312" w:eastAsia="仿宋_GB2312"/>
          <w:sz w:val="32"/>
        </w:rPr>
        <w:t>——菌丝体发酵植物蛋白，改善植物蛋白的感官、功能和营养属性，已获欧盟新型食品称号【附件2】【附件4】。</w:t>
      </w:r>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七、市场发展趋势与展望</w:t>
      </w:r>
    </w:p>
    <w:p>
      <w:pPr>
        <w:spacing w:line="360" w:lineRule="auto" w:before="240" w:after="120"/>
        <w:ind w:firstLine="420"/>
        <w:jc w:val="left"/>
      </w:pPr>
      <w:r>
        <w:rPr>
          <w:rFonts w:ascii="楷体" w:hAnsi="楷体" w:eastAsia="楷体"/>
          <w:b/>
          <w:sz w:val="32"/>
        </w:rPr>
        <w:t>（一）发展趋势</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从"减糖"到"重建甜味"</w:t>
      </w:r>
      <w:r>
        <w:rPr>
          <w:rFonts w:ascii="仿宋_GB2312" w:hAnsi="仿宋_GB2312" w:eastAsia="仿宋_GB2312"/>
          <w:sz w:val="32"/>
        </w:rPr>
        <w:t>：食品行业正从简单的减糖策略转向通过天然甜味蛋白等成分"重建甜味"体验。蜂蜜松露甜蛋白的纯净口感和高甜度正契合这一趋势【附件1】。</w:t>
      </w:r>
    </w:p>
    <w:p>
      <w:pPr>
        <w:spacing w:line="360" w:lineRule="auto"/>
        <w:ind w:firstLine="420"/>
        <w:jc w:val="both"/>
      </w:pPr>
      <w:r>
        <w:rPr>
          <w:rFonts w:ascii="仿宋_GB2312" w:hAnsi="仿宋_GB2312" w:eastAsia="仿宋_GB2312"/>
          <w:sz w:val="32"/>
        </w:rPr>
        <w:t xml:space="preserve">2 </w:t>
      </w:r>
      <w:r>
        <w:rPr>
          <w:rFonts w:ascii="仿宋_GB2312" w:hAnsi="仿宋_GB2312" w:eastAsia="仿宋_GB2312"/>
          <w:b/>
          <w:sz w:val="32"/>
        </w:rPr>
        <w:t>GLP-1驱动的配方革命</w:t>
      </w:r>
      <w:r>
        <w:rPr>
          <w:rFonts w:ascii="仿宋_GB2312" w:hAnsi="仿宋_GB2312" w:eastAsia="仿宋_GB2312"/>
          <w:sz w:val="32"/>
        </w:rPr>
        <w:t>：GLP-1类减肥药正在改变消费者的饮食模式和口味偏好。食品企业需要重新调整产品配方以吸引这一快速增长的人群。甜味蛋白凭借对血糖无影响、对肠道健康有益的特性，处于有利地位【附件5】。</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发酵技术的工业化成熟</w:t>
      </w:r>
      <w:r>
        <w:rPr>
          <w:rFonts w:ascii="仿宋_GB2312" w:hAnsi="仿宋_GB2312" w:eastAsia="仿宋_GB2312"/>
          <w:sz w:val="32"/>
        </w:rPr>
        <w:t>：精密发酵技术正在快速成熟，FAAS（发酵即服务）等平台化商业模式降低了行业门槛，加速了新产品从研发到上市的周期【附件2】。</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清洁标签与透明度</w:t>
      </w:r>
      <w:r>
        <w:rPr>
          <w:rFonts w:ascii="仿宋_GB2312" w:hAnsi="仿宋_GB2312" w:eastAsia="仿宋_GB2312"/>
          <w:sz w:val="32"/>
        </w:rPr>
        <w:t>：全球消费者对食品标签透明度的要求在提高。天然来源、简单配料、无人工添加剂的甜味蛋白产品具有显著的差异化优势【附件7】。</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亚太市场的增长潜力</w:t>
      </w:r>
      <w:r>
        <w:rPr>
          <w:rFonts w:ascii="仿宋_GB2312" w:hAnsi="仿宋_GB2312" w:eastAsia="仿宋_GB2312"/>
          <w:sz w:val="32"/>
        </w:rPr>
        <w:t>：中国、日本、韩国等亚洲国家消费者对天然甜味剂和功能性食品的需求快速增长。蜂蜜松露作为高端食材在亚洲市场具有一定的认知基础，有利于市场开拓。</w:t>
      </w:r>
    </w:p>
    <w:p>
      <w:pPr>
        <w:spacing w:line="360" w:lineRule="auto" w:before="240" w:after="120"/>
        <w:ind w:firstLine="420"/>
        <w:jc w:val="left"/>
      </w:pPr>
      <w:r>
        <w:rPr>
          <w:rFonts w:ascii="楷体" w:hAnsi="楷体" w:eastAsia="楷体"/>
          <w:b/>
          <w:sz w:val="32"/>
        </w:rPr>
        <w:t>（二）面临的风险与挑战</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60"/>
        <w:gridCol w:w="3060"/>
        <w:gridCol w:w="3060"/>
      </w:tblGrid>
      <w:tr>
        <w:tc>
          <w:tcPr>
            <w:tcW w:type="dxa" w:w="3060"/>
            <w:shd w:fill="000000"/>
            <w:vAlign w:val="center"/>
          </w:tcPr>
          <w:p>
            <w:pPr>
              <w:spacing w:before="60" w:after="60"/>
              <w:jc w:val="center"/>
            </w:pPr>
            <w:r>
              <w:rPr>
                <w:rFonts w:ascii="仿宋_GB2312" w:hAnsi="仿宋_GB2312" w:eastAsia="仿宋_GB2312"/>
                <w:b/>
                <w:color w:val="FFFFFF"/>
                <w:sz w:val="28"/>
              </w:rPr>
              <w:t>风险类别</w:t>
            </w:r>
          </w:p>
        </w:tc>
        <w:tc>
          <w:tcPr>
            <w:tcW w:type="dxa" w:w="3060"/>
            <w:shd w:fill="000000"/>
            <w:vAlign w:val="center"/>
          </w:tcPr>
          <w:p>
            <w:pPr>
              <w:spacing w:before="60" w:after="60"/>
              <w:jc w:val="center"/>
            </w:pPr>
            <w:r>
              <w:rPr>
                <w:rFonts w:ascii="仿宋_GB2312" w:hAnsi="仿宋_GB2312" w:eastAsia="仿宋_GB2312"/>
                <w:b/>
                <w:color w:val="FFFFFF"/>
                <w:sz w:val="28"/>
              </w:rPr>
              <w:t>具体内容</w:t>
            </w:r>
          </w:p>
        </w:tc>
        <w:tc>
          <w:tcPr>
            <w:tcW w:type="dxa" w:w="3060"/>
            <w:shd w:fill="000000"/>
            <w:vAlign w:val="center"/>
          </w:tcPr>
          <w:p>
            <w:pPr>
              <w:spacing w:before="60" w:after="60"/>
              <w:jc w:val="center"/>
            </w:pPr>
            <w:r>
              <w:rPr>
                <w:rFonts w:ascii="仿宋_GB2312" w:hAnsi="仿宋_GB2312" w:eastAsia="仿宋_GB2312"/>
                <w:b/>
                <w:color w:val="FFFFFF"/>
                <w:sz w:val="28"/>
              </w:rPr>
              <w:t>风险等级</w:t>
            </w:r>
          </w:p>
        </w:tc>
      </w:tr>
      <w:tr>
        <w:tc>
          <w:tcPr>
            <w:tcW w:type="dxa" w:w="3060"/>
            <w:vAlign w:val="center"/>
          </w:tcPr>
          <w:p>
            <w:pPr>
              <w:spacing w:before="60" w:after="60"/>
              <w:jc w:val="center"/>
            </w:pPr>
            <w:r>
              <w:rPr>
                <w:rFonts w:ascii="仿宋_GB2312" w:hAnsi="仿宋_GB2312" w:eastAsia="仿宋_GB2312"/>
                <w:sz w:val="28"/>
              </w:rPr>
              <w:t>技术风险</w:t>
            </w:r>
          </w:p>
        </w:tc>
        <w:tc>
          <w:tcPr>
            <w:tcW w:type="dxa" w:w="3060"/>
            <w:vAlign w:val="center"/>
          </w:tcPr>
          <w:p>
            <w:pPr>
              <w:spacing w:before="60" w:after="60"/>
              <w:jc w:val="center"/>
            </w:pPr>
            <w:r>
              <w:rPr>
                <w:rFonts w:ascii="仿宋_GB2312" w:hAnsi="仿宋_GB2312" w:eastAsia="仿宋_GB2312"/>
                <w:sz w:val="28"/>
              </w:rPr>
              <w:t>和成本压力、蛋白质稳定性、规模化放大</w:t>
            </w:r>
          </w:p>
        </w:tc>
        <w:tc>
          <w:tcPr>
            <w:tcW w:type="dxa" w:w="3060"/>
            <w:vAlign w:val="center"/>
          </w:tcPr>
          <w:p>
            <w:pPr>
              <w:spacing w:before="60" w:after="60"/>
              <w:jc w:val="center"/>
            </w:pPr>
            <w:r>
              <w:rPr>
                <w:rFonts w:ascii="仿宋_GB2312" w:hAnsi="仿宋_GB2312" w:eastAsia="仿宋_GB2312"/>
                <w:sz w:val="28"/>
              </w:rPr>
              <w:t>★★★★★</w:t>
            </w:r>
          </w:p>
        </w:tc>
      </w:tr>
      <w:tr>
        <w:tc>
          <w:tcPr>
            <w:tcW w:type="dxa" w:w="3060"/>
            <w:vAlign w:val="center"/>
            <w:shd w:fill="F5F5F5"/>
          </w:tcPr>
          <w:p>
            <w:pPr>
              <w:spacing w:before="60" w:after="60"/>
              <w:jc w:val="center"/>
            </w:pPr>
            <w:r>
              <w:rPr>
                <w:rFonts w:ascii="仿宋_GB2312" w:hAnsi="仿宋_GB2312" w:eastAsia="仿宋_GB2312"/>
                <w:sz w:val="28"/>
              </w:rPr>
              <w:t>市场风险</w:t>
            </w:r>
          </w:p>
        </w:tc>
        <w:tc>
          <w:tcPr>
            <w:tcW w:type="dxa" w:w="3060"/>
            <w:vAlign w:val="center"/>
            <w:shd w:fill="F5F5F5"/>
          </w:tcPr>
          <w:p>
            <w:pPr>
              <w:spacing w:before="60" w:after="60"/>
              <w:jc w:val="center"/>
            </w:pPr>
            <w:r>
              <w:rPr>
                <w:rFonts w:ascii="仿宋_GB2312" w:hAnsi="仿宋_GB2312" w:eastAsia="仿宋_GB2312"/>
                <w:sz w:val="28"/>
              </w:rPr>
              <w:t>消费者接受度、价格竞争力、品牌认知建立</w:t>
            </w:r>
          </w:p>
        </w:tc>
        <w:tc>
          <w:tcPr>
            <w:tcW w:type="dxa" w:w="3060"/>
            <w:vAlign w:val="center"/>
            <w:shd w:fill="F5F5F5"/>
          </w:tcPr>
          <w:p>
            <w:pPr>
              <w:spacing w:before="60" w:after="60"/>
              <w:jc w:val="center"/>
            </w:pPr>
            <w:r>
              <w:rPr>
                <w:rFonts w:ascii="仿宋_GB2312" w:hAnsi="仿宋_GB2312" w:eastAsia="仿宋_GB2312"/>
                <w:sz w:val="28"/>
              </w:rPr>
              <w:t>★★★★</w:t>
            </w:r>
          </w:p>
        </w:tc>
      </w:tr>
      <w:tr>
        <w:tc>
          <w:tcPr>
            <w:tcW w:type="dxa" w:w="3060"/>
            <w:vAlign w:val="center"/>
          </w:tcPr>
          <w:p>
            <w:pPr>
              <w:spacing w:before="60" w:after="60"/>
              <w:jc w:val="center"/>
            </w:pPr>
            <w:r>
              <w:rPr>
                <w:rFonts w:ascii="仿宋_GB2312" w:hAnsi="仿宋_GB2312" w:eastAsia="仿宋_GB2312"/>
                <w:sz w:val="28"/>
              </w:rPr>
              <w:t>监管风险</w:t>
            </w:r>
          </w:p>
        </w:tc>
        <w:tc>
          <w:tcPr>
            <w:tcW w:type="dxa" w:w="3060"/>
            <w:vAlign w:val="center"/>
          </w:tcPr>
          <w:p>
            <w:pPr>
              <w:spacing w:before="60" w:after="60"/>
              <w:jc w:val="center"/>
            </w:pPr>
            <w:r>
              <w:rPr>
                <w:rFonts w:ascii="仿宋_GB2312" w:hAnsi="仿宋_GB2312" w:eastAsia="仿宋_GB2312"/>
                <w:sz w:val="28"/>
              </w:rPr>
              <w:t>FDA正式审批周期、各国差异化审批要求、GRAS政策变动</w:t>
            </w:r>
          </w:p>
        </w:tc>
        <w:tc>
          <w:tcPr>
            <w:tcW w:type="dxa" w:w="3060"/>
            <w:vAlign w:val="center"/>
          </w:tcPr>
          <w:p>
            <w:pPr>
              <w:spacing w:before="60" w:after="60"/>
              <w:jc w:val="center"/>
            </w:pPr>
            <w:r>
              <w:rPr>
                <w:rFonts w:ascii="仿宋_GB2312" w:hAnsi="仿宋_GB2312" w:eastAsia="仿宋_GB2312"/>
                <w:sz w:val="28"/>
              </w:rPr>
              <w:t>★★★★</w:t>
            </w:r>
          </w:p>
        </w:tc>
      </w:tr>
      <w:tr>
        <w:tc>
          <w:tcPr>
            <w:tcW w:type="dxa" w:w="3060"/>
            <w:vAlign w:val="center"/>
            <w:shd w:fill="F5F5F5"/>
          </w:tcPr>
          <w:p>
            <w:pPr>
              <w:spacing w:before="60" w:after="60"/>
              <w:jc w:val="center"/>
            </w:pPr>
            <w:r>
              <w:rPr>
                <w:rFonts w:ascii="仿宋_GB2312" w:hAnsi="仿宋_GB2312" w:eastAsia="仿宋_GB2312"/>
                <w:sz w:val="28"/>
              </w:rPr>
              <w:t>竞争风险</w:t>
            </w:r>
          </w:p>
        </w:tc>
        <w:tc>
          <w:tcPr>
            <w:tcW w:type="dxa" w:w="3060"/>
            <w:vAlign w:val="center"/>
            <w:shd w:fill="F5F5F5"/>
          </w:tcPr>
          <w:p>
            <w:pPr>
              <w:spacing w:before="60" w:after="60"/>
              <w:jc w:val="center"/>
            </w:pPr>
            <w:r>
              <w:rPr>
                <w:rFonts w:ascii="仿宋_GB2312" w:hAnsi="仿宋_GB2312" w:eastAsia="仿宋_GB2312"/>
                <w:sz w:val="28"/>
              </w:rPr>
              <w:t>甜味蛋白领域竞争加剧、替代技术出现、GLP-1市场不确定性</w:t>
            </w:r>
          </w:p>
        </w:tc>
        <w:tc>
          <w:tcPr>
            <w:tcW w:type="dxa" w:w="3060"/>
            <w:vAlign w:val="center"/>
            <w:shd w:fill="F5F5F5"/>
          </w:tcPr>
          <w:p>
            <w:pPr>
              <w:spacing w:before="60" w:after="60"/>
              <w:jc w:val="center"/>
            </w:pPr>
            <w:r>
              <w:rPr>
                <w:rFonts w:ascii="仿宋_GB2312" w:hAnsi="仿宋_GB2312" w:eastAsia="仿宋_GB2312"/>
                <w:sz w:val="28"/>
              </w:rPr>
              <w:t>★★★</w:t>
            </w:r>
          </w:p>
        </w:tc>
      </w:tr>
      <w:tr>
        <w:tc>
          <w:tcPr>
            <w:tcW w:type="dxa" w:w="3060"/>
            <w:vAlign w:val="center"/>
          </w:tcPr>
          <w:p>
            <w:pPr>
              <w:spacing w:before="60" w:after="60"/>
              <w:jc w:val="center"/>
            </w:pPr>
            <w:r>
              <w:rPr>
                <w:rFonts w:ascii="仿宋_GB2312" w:hAnsi="仿宋_GB2312" w:eastAsia="仿宋_GB2312"/>
                <w:sz w:val="28"/>
              </w:rPr>
              <w:t>供应链风险</w:t>
            </w:r>
          </w:p>
        </w:tc>
        <w:tc>
          <w:tcPr>
            <w:tcW w:type="dxa" w:w="3060"/>
            <w:vAlign w:val="center"/>
          </w:tcPr>
          <w:p>
            <w:pPr>
              <w:spacing w:before="60" w:after="60"/>
              <w:jc w:val="center"/>
            </w:pPr>
            <w:r>
              <w:rPr>
                <w:rFonts w:ascii="仿宋_GB2312" w:hAnsi="仿宋_GB2312" w:eastAsia="仿宋_GB2312"/>
                <w:sz w:val="28"/>
              </w:rPr>
              <w:t>发酵原料供应、生产设施投资、冷链物流</w:t>
            </w:r>
          </w:p>
        </w:tc>
        <w:tc>
          <w:tcPr>
            <w:tcW w:type="dxa" w:w="3060"/>
            <w:vAlign w:val="center"/>
          </w:tcPr>
          <w:p>
            <w:pPr>
              <w:spacing w:before="60" w:after="60"/>
              <w:jc w:val="center"/>
            </w:pPr>
            <w:r>
              <w:rPr>
                <w:rFonts w:ascii="仿宋_GB2312" w:hAnsi="仿宋_GB2312" w:eastAsia="仿宋_GB2312"/>
                <w:sz w:val="28"/>
              </w:rPr>
              <w:t>★★★</w:t>
            </w:r>
          </w:p>
        </w:tc>
      </w:tr>
    </w:tbl>
    <w:p/>
    <w:p>
      <w:pPr>
        <w:spacing w:before="120" w:after="120"/>
        <w:jc w:val="center"/>
      </w:pPr>
      <w:r>
        <w:rPr>
          <w:rFonts w:ascii="仿宋_GB2312" w:hAnsi="仿宋_GB2312"/>
          <w:sz w:val="20"/>
        </w:rPr>
        <w:t>────────────────────────────────────────</w:t>
      </w:r>
    </w:p>
    <w:p>
      <w:pPr>
        <w:spacing w:line="360" w:lineRule="auto" w:before="240" w:after="120"/>
        <w:ind w:firstLine="420"/>
        <w:jc w:val="left"/>
      </w:pPr>
      <w:r>
        <w:rPr>
          <w:rFonts w:ascii="黑体" w:hAnsi="黑体" w:eastAsia="黑体"/>
          <w:sz w:val="32"/>
        </w:rPr>
        <w:t>八、结论与建议</w:t>
      </w:r>
    </w:p>
    <w:p>
      <w:pPr>
        <w:spacing w:line="360" w:lineRule="auto" w:before="240" w:after="120"/>
        <w:ind w:firstLine="420"/>
        <w:jc w:val="left"/>
      </w:pPr>
      <w:r>
        <w:rPr>
          <w:rFonts w:ascii="楷体" w:hAnsi="楷体" w:eastAsia="楷体"/>
          <w:b/>
          <w:sz w:val="32"/>
        </w:rPr>
        <w:t>（一）基本结论</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市场前景良好</w:t>
      </w:r>
      <w:r>
        <w:rPr>
          <w:rFonts w:ascii="仿宋_GB2312" w:hAnsi="仿宋_GB2312" w:eastAsia="仿宋_GB2312"/>
          <w:sz w:val="32"/>
        </w:rPr>
        <w:t>：全球甜味蛋白市场处于快速增长阶段，预计2026至2033年复合增长率达10.3%，蜂蜜松露甜蛋白作为该领域的创新产品，具有广阔的发展空间。</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技术壁垒较高</w:t>
      </w:r>
      <w:r>
        <w:rPr>
          <w:rFonts w:ascii="仿宋_GB2312" w:hAnsi="仿宋_GB2312" w:eastAsia="仿宋_GB2312"/>
          <w:sz w:val="32"/>
        </w:rPr>
        <w:t>：精密发酵技术路线具有较高的技术门槛，MycoTechnology在该领域已建立起一定的先发优势和专利壁垒。</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政策窗口期</w:t>
      </w:r>
      <w:r>
        <w:rPr>
          <w:rFonts w:ascii="仿宋_GB2312" w:hAnsi="仿宋_GB2312" w:eastAsia="仿宋_GB2312"/>
          <w:sz w:val="32"/>
        </w:rPr>
        <w:t>：GLP-1减肥药带来的食品行业变革为天然甜味蛋白创造了历史性的市场窗口期。</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安全性有保障</w:t>
      </w:r>
      <w:r>
        <w:rPr>
          <w:rFonts w:ascii="仿宋_GB2312" w:hAnsi="仿宋_GB2312" w:eastAsia="仿宋_GB2312"/>
          <w:sz w:val="32"/>
        </w:rPr>
        <w:t>：已完成的毒理学和安全性研究表明，蜂蜜松露甜蛋白具有良好的安全性特征，为其市场准入提供了科学依据。</w:t>
      </w:r>
    </w:p>
    <w:p>
      <w:pPr>
        <w:spacing w:line="360" w:lineRule="auto" w:before="240" w:after="120"/>
        <w:ind w:firstLine="420"/>
        <w:jc w:val="left"/>
      </w:pPr>
      <w:r>
        <w:rPr>
          <w:rFonts w:ascii="楷体" w:hAnsi="楷体" w:eastAsia="楷体"/>
          <w:b/>
          <w:sz w:val="32"/>
        </w:rPr>
        <w:t>（二）相关建议</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关注监管动态</w:t>
      </w:r>
      <w:r>
        <w:rPr>
          <w:rFonts w:ascii="仿宋_GB2312" w:hAnsi="仿宋_GB2312" w:eastAsia="仿宋_GB2312"/>
          <w:sz w:val="32"/>
        </w:rPr>
        <w:t>：密切跟踪美国FDA、欧盟EFSA、中国国家卫健委等监管机构对甜味蛋白的审批进展和标准制定。</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提前布局专利</w:t>
      </w:r>
      <w:r>
        <w:rPr>
          <w:rFonts w:ascii="仿宋_GB2312" w:hAnsi="仿宋_GB2312" w:eastAsia="仿宋_GB2312"/>
          <w:sz w:val="32"/>
        </w:rPr>
        <w:t>：关注甜味领域的专利布局情况，防范知识产权风险。</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储备技术能力</w:t>
      </w:r>
      <w:r>
        <w:rPr>
          <w:rFonts w:ascii="仿宋_GB2312" w:hAnsi="仿宋_GB2312" w:eastAsia="仿宋_GB2312"/>
          <w:sz w:val="32"/>
        </w:rPr>
        <w:t>：关注精密发酵技术在甜味蛋白生产中的应用进展，评估相关技术的可引进性和可转化性。</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把握市场时机</w:t>
      </w:r>
      <w:r>
        <w:rPr>
          <w:rFonts w:ascii="仿宋_GB2312" w:hAnsi="仿宋_GB2312" w:eastAsia="仿宋_GB2312"/>
          <w:sz w:val="32"/>
        </w:rPr>
        <w:t>：鉴于GLP-1药物市场的快速扩张，建议相关企业关注甜味蛋白在下游食品饮料中的应用机会，适时布局产品研发和市场合作。</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b/>
          <w:sz w:val="32"/>
        </w:rPr>
        <w:t>加强风险防控</w:t>
      </w:r>
      <w:r>
        <w:rPr>
          <w:rFonts w:ascii="仿宋_GB2312" w:hAnsi="仿宋_GB2312" w:eastAsia="仿宋_GB2312"/>
          <w:sz w:val="32"/>
        </w:rPr>
        <w:t>：针对产能、成本、监管等核心风险因素，制定相应的风险应对预案。</w:t>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b/>
          <w:sz w:val="32"/>
        </w:rPr>
        <w:t>附件：</w:t>
      </w:r>
    </w:p>
    <w:p>
      <w:pPr>
        <w:spacing w:line="360" w:lineRule="auto" w:before="40" w:after="40"/>
        <w:ind w:left="567" w:hanging="283"/>
      </w:pPr>
      <w:r>
        <w:rPr>
          <w:rFonts w:ascii="仿宋_GB2312" w:hAnsi="仿宋_GB2312" w:eastAsia="仿宋_GB2312"/>
          <w:sz w:val="32"/>
        </w:rPr>
        <w:t xml:space="preserve">1. </w:t>
      </w:r>
      <w:r>
        <w:rPr>
          <w:rFonts w:ascii="仿宋_GB2312" w:hAnsi="仿宋_GB2312" w:eastAsia="仿宋_GB2312"/>
          <w:sz w:val="32"/>
        </w:rPr>
        <w:t>附件1——食力foodNEXT报道：《從珍稀松露到減糖救世主！「蜂蜜松露甜味劑」問世》</w:t>
      </w:r>
    </w:p>
    <w:p>
      <w:pPr>
        <w:spacing w:line="360" w:lineRule="auto" w:before="40" w:after="40"/>
        <w:ind w:left="567" w:hanging="283"/>
      </w:pPr>
      <w:r>
        <w:rPr>
          <w:rFonts w:ascii="仿宋_GB2312" w:hAnsi="仿宋_GB2312" w:eastAsia="仿宋_GB2312"/>
          <w:sz w:val="32"/>
        </w:rPr>
        <w:t xml:space="preserve">2. </w:t>
      </w:r>
      <w:r>
        <w:rPr>
          <w:rFonts w:ascii="仿宋_GB2312" w:hAnsi="仿宋_GB2312" w:eastAsia="仿宋_GB2312"/>
          <w:sz w:val="32"/>
        </w:rPr>
        <w:t>附件2——网易/生辉报道：《比蔗糖甜2500倍，菌丝体公司推进天然甜味蛋白》</w:t>
      </w:r>
    </w:p>
    <w:p>
      <w:pPr>
        <w:spacing w:line="360" w:lineRule="auto" w:before="40" w:after="40"/>
        <w:ind w:left="567" w:hanging="283"/>
      </w:pPr>
      <w:r>
        <w:rPr>
          <w:rFonts w:ascii="仿宋_GB2312" w:hAnsi="仿宋_GB2312" w:eastAsia="仿宋_GB2312"/>
          <w:sz w:val="32"/>
        </w:rPr>
        <w:t xml:space="preserve">3. </w:t>
      </w:r>
      <w:r>
        <w:rPr>
          <w:rFonts w:ascii="仿宋_GB2312" w:hAnsi="仿宋_GB2312" w:eastAsia="仿宋_GB2312"/>
          <w:sz w:val="32"/>
        </w:rPr>
        <w:t>附件3——生物通报导：</w:t>
      </w:r>
      <w:r>
        <w:rPr>
          <w:rFonts w:ascii="仿宋_GB2312" w:hAnsi="仿宋_GB2312" w:eastAsia="仿宋_GB2312"/>
          <w:i/>
          <w:sz w:val="32"/>
        </w:rPr>
        <w:t>Safety Evaluation of Honey Truffle Sweet Protein Produced from Komagataella phaffii</w:t>
      </w:r>
    </w:p>
    <w:p>
      <w:pPr>
        <w:spacing w:line="360" w:lineRule="auto" w:before="40" w:after="40"/>
        <w:ind w:left="567" w:hanging="283"/>
      </w:pPr>
      <w:r>
        <w:rPr>
          <w:rFonts w:ascii="仿宋_GB2312" w:hAnsi="仿宋_GB2312" w:eastAsia="仿宋_GB2312"/>
          <w:sz w:val="32"/>
        </w:rPr>
        <w:t xml:space="preserve">4. </w:t>
      </w:r>
      <w:r>
        <w:rPr>
          <w:rFonts w:ascii="仿宋_GB2312" w:hAnsi="仿宋_GB2312" w:eastAsia="仿宋_GB2312"/>
          <w:sz w:val="32"/>
        </w:rPr>
        <w:t>附件4——搜狐/新浪/植提桥报道：《美国公司发现源自蘑菇的天然甜味蛋白》</w:t>
      </w:r>
    </w:p>
    <w:p>
      <w:pPr>
        <w:spacing w:line="360" w:lineRule="auto" w:before="40" w:after="40"/>
        <w:ind w:left="567" w:hanging="283"/>
      </w:pPr>
      <w:r>
        <w:rPr>
          <w:rFonts w:ascii="仿宋_GB2312" w:hAnsi="仿宋_GB2312" w:eastAsia="仿宋_GB2312"/>
          <w:sz w:val="32"/>
        </w:rPr>
        <w:t xml:space="preserve">5. </w:t>
      </w:r>
      <w:r>
        <w:rPr>
          <w:rFonts w:ascii="仿宋_GB2312" w:hAnsi="仿宋_GB2312" w:eastAsia="仿宋_GB2312"/>
          <w:sz w:val="32"/>
        </w:rPr>
        <w:t>附件5——Green Queen报道：</w:t>
      </w:r>
      <w:r>
        <w:rPr>
          <w:rFonts w:ascii="仿宋_GB2312" w:hAnsi="仿宋_GB2312" w:eastAsia="仿宋_GB2312"/>
          <w:i/>
          <w:sz w:val="32"/>
        </w:rPr>
        <w:t>MycoTechnology Cleared to Sell Honey Truffle Sweet Protein in US</w:t>
      </w:r>
    </w:p>
    <w:p>
      <w:pPr>
        <w:spacing w:line="360" w:lineRule="auto" w:before="40" w:after="40"/>
        <w:ind w:left="567" w:hanging="283"/>
      </w:pPr>
      <w:r>
        <w:rPr>
          <w:rFonts w:ascii="仿宋_GB2312" w:hAnsi="仿宋_GB2312" w:eastAsia="仿宋_GB2312"/>
          <w:sz w:val="32"/>
        </w:rPr>
        <w:t xml:space="preserve">6. </w:t>
      </w:r>
      <w:r>
        <w:rPr>
          <w:rFonts w:ascii="仿宋_GB2312" w:hAnsi="仿宋_GB2312" w:eastAsia="仿宋_GB2312"/>
          <w:sz w:val="32"/>
        </w:rPr>
        <w:t>附件6——Food Ingredients First报道：</w:t>
      </w:r>
      <w:r>
        <w:rPr>
          <w:rFonts w:ascii="仿宋_GB2312" w:hAnsi="仿宋_GB2312" w:eastAsia="仿宋_GB2312"/>
          <w:i/>
          <w:sz w:val="32"/>
        </w:rPr>
        <w:t>MycoTechnology unlocks honey truffle sweet protein for sustainable sugar reduction</w:t>
      </w:r>
    </w:p>
    <w:p>
      <w:pPr>
        <w:spacing w:line="360" w:lineRule="auto" w:before="40" w:after="40"/>
        <w:ind w:left="567" w:hanging="283"/>
      </w:pPr>
      <w:r>
        <w:rPr>
          <w:rFonts w:ascii="仿宋_GB2312" w:hAnsi="仿宋_GB2312" w:eastAsia="仿宋_GB2312"/>
          <w:sz w:val="32"/>
        </w:rPr>
        <w:t xml:space="preserve">7. </w:t>
      </w:r>
      <w:r>
        <w:rPr>
          <w:rFonts w:ascii="仿宋_GB2312" w:hAnsi="仿宋_GB2312" w:eastAsia="仿宋_GB2312"/>
          <w:sz w:val="32"/>
        </w:rPr>
        <w:t>附件7——FoodBev Media报道：</w:t>
      </w:r>
      <w:r>
        <w:rPr>
          <w:rFonts w:ascii="仿宋_GB2312" w:hAnsi="仿宋_GB2312" w:eastAsia="仿宋_GB2312"/>
          <w:i/>
          <w:sz w:val="32"/>
        </w:rPr>
        <w:t>MycoTechnology progresses towards commercialisation of honey truffle sweetener</w:t>
      </w:r>
    </w:p>
    <w:p>
      <w:pPr>
        <w:spacing w:line="360" w:lineRule="auto" w:before="40" w:after="40"/>
        <w:ind w:left="567" w:hanging="283"/>
      </w:pPr>
      <w:r>
        <w:rPr>
          <w:rFonts w:ascii="仿宋_GB2312" w:hAnsi="仿宋_GB2312" w:eastAsia="仿宋_GB2312"/>
          <w:sz w:val="32"/>
        </w:rPr>
        <w:t xml:space="preserve">8. </w:t>
      </w:r>
      <w:r>
        <w:rPr>
          <w:rFonts w:ascii="仿宋_GB2312" w:hAnsi="仿宋_GB2312" w:eastAsia="仿宋_GB2312"/>
          <w:sz w:val="32"/>
        </w:rPr>
        <w:t>附件8——Newstrail/Persistence Market Research市场报告：</w:t>
      </w:r>
      <w:r>
        <w:rPr>
          <w:rFonts w:ascii="仿宋_GB2312" w:hAnsi="仿宋_GB2312" w:eastAsia="仿宋_GB2312"/>
          <w:i/>
          <w:sz w:val="32"/>
        </w:rPr>
        <w:t>Sweet Protein Market to Hit \$26.6 Mn by 2033</w:t>
      </w:r>
    </w:p>
    <w:p>
      <w:pPr>
        <w:spacing w:line="360" w:lineRule="auto" w:before="40" w:after="40"/>
        <w:ind w:left="567" w:hanging="283"/>
      </w:pPr>
      <w:r>
        <w:rPr>
          <w:rFonts w:ascii="仿宋_GB2312" w:hAnsi="仿宋_GB2312" w:eastAsia="仿宋_GB2312"/>
          <w:sz w:val="32"/>
        </w:rPr>
        <w:t xml:space="preserve">9. </w:t>
      </w:r>
      <w:r>
        <w:rPr>
          <w:rFonts w:ascii="仿宋_GB2312" w:hAnsi="仿宋_GB2312" w:eastAsia="仿宋_GB2312"/>
          <w:sz w:val="32"/>
        </w:rPr>
        <w:t>附件9——Food Engineering报道：</w:t>
      </w:r>
      <w:r>
        <w:rPr>
          <w:rFonts w:ascii="仿宋_GB2312" w:hAnsi="仿宋_GB2312" w:eastAsia="仿宋_GB2312"/>
          <w:i/>
          <w:sz w:val="32"/>
        </w:rPr>
        <w:t>MycoTechnology Advances Toward Commercialization of Honey Truffle Sweetener</w:t>
      </w:r>
    </w:p>
    <w:p>
      <w:pPr>
        <w:spacing w:line="360" w:lineRule="auto"/>
        <w:ind w:firstLine="420"/>
        <w:jc w:val="both"/>
      </w:pPr>
      <w:r>
        <w:rPr>
          <w:rFonts w:ascii="仿宋_GB2312" w:hAnsi="仿宋_GB2312" w:eastAsia="仿宋_GB2312"/>
          <w:b/>
          <w:sz w:val="32"/>
        </w:rPr>
        <w:t>调研工作组</w:t>
      </w:r>
    </w:p>
    <w:p>
      <w:pPr>
        <w:spacing w:line="360" w:lineRule="auto"/>
        <w:ind w:firstLine="420"/>
        <w:jc w:val="both"/>
      </w:pPr>
      <w:r>
        <w:rPr>
          <w:rFonts w:ascii="仿宋_GB2312" w:hAnsi="仿宋_GB2312" w:eastAsia="仿宋_GB2312"/>
          <w:b/>
          <w:sz w:val="32"/>
        </w:rPr>
        <w:t>2026年4月26日</w:t>
      </w:r>
    </w:p>
    <w:p>
      <w:pPr>
        <w:spacing w:before="120" w:after="120"/>
        <w:jc w:val="center"/>
      </w:pPr>
      <w:r>
        <w:rPr>
          <w:rFonts w:ascii="仿宋_GB2312" w:hAnsi="仿宋_GB2312"/>
          <w:sz w:val="20"/>
        </w:rPr>
        <w:t>────────────────────────────────────────</w:t>
      </w:r>
    </w:p>
    <w:p>
      <w:pPr>
        <w:spacing w:line="360" w:lineRule="auto"/>
        <w:ind w:firstLine="420"/>
        <w:jc w:val="both"/>
      </w:pPr>
      <w:r>
        <w:rPr>
          <w:rFonts w:ascii="仿宋_GB2312" w:hAnsi="仿宋_GB2312" w:eastAsia="仿宋_GB2312"/>
          <w:i/>
          <w:sz w:val="32"/>
        </w:rPr>
        <w:t>（本报告原始数据来源于公开渠道的媒体报道、学术论文及市场研究报告。报告中所有数据引用均已标注出处，详见各附件文件。）</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