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2C3E50"/>
          <w:sz w:val="24"/>
        </w:rPr>
        <w:t>━━━━━━━━━━━━━━━━━━━━━━━━━━━━━━━━━━━━━━━━</w:t>
      </w:r>
    </w:p>
    <w:p>
      <w:pPr>
        <w:jc w:val="center"/>
      </w:pPr>
      <w:r>
        <w:rPr>
          <w:rFonts w:ascii="Arial" w:hAnsi="Arial" w:eastAsia="Arial"/>
          <w:b/>
          <w:color w:val="2C3E50"/>
          <w:sz w:val="56"/>
        </w:rPr>
        <w:t>国内再保险市场深度调研报告</w:t>
      </w:r>
    </w:p>
    <w:p>
      <w:pPr>
        <w:jc w:val="center"/>
      </w:pPr>
      <w:r>
        <w:rPr>
          <w:color w:val="2C3E50"/>
          <w:sz w:val="24"/>
        </w:rPr>
        <w:t>━━━━━━━━━━━━━━━━━━━━━━━━━━━━━━━━━━━━━━━━</w:t>
      </w:r>
    </w:p>
    <w:p>
      <w:pPr>
        <w:jc w:val="center"/>
      </w:pPr>
      <w:r>
        <w:rPr>
          <w:color w:val="7F8C8D"/>
          <w:sz w:val="24"/>
        </w:rPr>
        <w:t>By 调研工作组</w:t>
      </w:r>
    </w:p>
    <w:p>
      <w:pPr>
        <w:jc w:val="center"/>
      </w:pPr>
      <w:r>
        <w:rPr>
          <w:color w:val="7F8C8D"/>
          <w:sz w:val="22"/>
        </w:rPr>
        <w:t>April 26, 2026</w:t>
      </w:r>
    </w:p>
    <w:p>
      <w:r>
        <w:br w:type="page"/>
      </w:r>
    </w:p>
    <w:p>
      <w:pPr>
        <w:spacing w:before="0" w:after="240"/>
      </w:pPr>
      <w:r>
        <w:rPr>
          <w:b/>
          <w:color w:val="2C3E50"/>
          <w:sz w:val="36"/>
        </w:rPr>
        <w:t>Table of Contents</w:t>
      </w:r>
    </w:p>
    <w:p>
      <w:pPr>
        <w:spacing w:before="0" w:after="120"/>
      </w:pPr>
      <w:r>
        <w:rPr>
          <w:color w:val="7F8C8D"/>
          <w:sz w:val="16"/>
        </w:rPr>
        <w:t>━━━━━━━━━━━━━━━━━━━━━━━━━━━━━━━━━━━━━━━━━━━━━━━━━━━━━━━━━━━━</w:t>
      </w:r>
    </w:p>
    <w:p>
      <w:pPr>
        <w:spacing w:before="40" w:after="40"/>
      </w:pPr>
      <w:r>
        <w:rPr>
          <w:color w:val="1A1A1A"/>
          <w:sz w:val="22"/>
        </w:rPr>
        <w:t>●  国内再保险深度调研报告</w:t>
      </w:r>
    </w:p>
    <w:p>
      <w:pPr>
        <w:spacing w:before="40" w:after="40"/>
      </w:pPr>
      <w:r>
        <w:rPr>
          <w:color w:val="1A1A1A"/>
          <w:sz w:val="20"/>
        </w:rPr>
        <w:t xml:space="preserve">    ○  一、中国再保险市场概览</w:t>
      </w:r>
    </w:p>
    <w:p>
      <w:pPr>
        <w:spacing w:before="40" w:after="40"/>
      </w:pPr>
      <w:r>
        <w:rPr>
          <w:color w:val="1A1A1A"/>
          <w:sz w:val="20"/>
        </w:rPr>
        <w:t xml:space="preserve">        ▪  1.1 市场格局</w:t>
      </w:r>
    </w:p>
    <w:p>
      <w:pPr>
        <w:spacing w:before="40" w:after="40"/>
      </w:pPr>
      <w:r>
        <w:rPr>
          <w:color w:val="1A1A1A"/>
          <w:sz w:val="20"/>
        </w:rPr>
        <w:t xml:space="preserve">        ▪  1.2 监管环境变化</w:t>
      </w:r>
    </w:p>
    <w:p>
      <w:pPr>
        <w:spacing w:before="40" w:after="40"/>
      </w:pPr>
      <w:r>
        <w:rPr>
          <w:color w:val="1A1A1A"/>
          <w:sz w:val="20"/>
        </w:rPr>
        <w:t xml:space="preserve">    ○  二、主要再保险公司经营策略分析</w:t>
      </w:r>
    </w:p>
    <w:p>
      <w:pPr>
        <w:spacing w:before="40" w:after="40"/>
      </w:pPr>
      <w:r>
        <w:rPr>
          <w:color w:val="1A1A1A"/>
          <w:sz w:val="20"/>
        </w:rPr>
        <w:t xml:space="preserve">        ▪  2.1 中再（中国再保险集团）—— 绝对龙头</w:t>
      </w:r>
    </w:p>
    <w:p>
      <w:pPr>
        <w:spacing w:before="40" w:after="40"/>
      </w:pPr>
      <w:r>
        <w:rPr>
          <w:color w:val="1A1A1A"/>
          <w:sz w:val="20"/>
        </w:rPr>
        <w:t xml:space="preserve">        ▪  2.2 太平再保险</w:t>
      </w:r>
    </w:p>
    <w:p>
      <w:pPr>
        <w:spacing w:before="40" w:after="40"/>
      </w:pPr>
      <w:r>
        <w:rPr>
          <w:color w:val="1A1A1A"/>
          <w:sz w:val="20"/>
        </w:rPr>
        <w:t xml:space="preserve">        ▪  2.3 人保再保险</w:t>
      </w:r>
    </w:p>
    <w:p>
      <w:pPr>
        <w:spacing w:before="40" w:after="40"/>
      </w:pPr>
      <w:r>
        <w:rPr>
          <w:color w:val="1A1A1A"/>
          <w:sz w:val="20"/>
        </w:rPr>
        <w:t xml:space="preserve">        ▪  2.4 慕尼黑再保险（中国）</w:t>
      </w:r>
    </w:p>
    <w:p>
      <w:pPr>
        <w:spacing w:before="40" w:after="40"/>
      </w:pPr>
      <w:r>
        <w:rPr>
          <w:color w:val="1A1A1A"/>
          <w:sz w:val="20"/>
        </w:rPr>
        <w:t xml:space="preserve">        ▪  2.5 瑞士再保险（中国）</w:t>
      </w:r>
    </w:p>
    <w:p>
      <w:pPr>
        <w:spacing w:before="40" w:after="40"/>
      </w:pPr>
      <w:r>
        <w:rPr>
          <w:color w:val="1A1A1A"/>
          <w:sz w:val="20"/>
        </w:rPr>
        <w:t xml:space="preserve">        ▪  2.6 汉诺威再保险（中国）</w:t>
      </w:r>
    </w:p>
    <w:p>
      <w:pPr>
        <w:spacing w:before="40" w:after="40"/>
      </w:pPr>
      <w:r>
        <w:rPr>
          <w:color w:val="1A1A1A"/>
          <w:sz w:val="20"/>
        </w:rPr>
        <w:t xml:space="preserve">        ▪  2.7 前海再保险</w:t>
      </w:r>
    </w:p>
    <w:p>
      <w:pPr>
        <w:spacing w:before="40" w:after="40"/>
      </w:pPr>
      <w:r>
        <w:rPr>
          <w:color w:val="1A1A1A"/>
          <w:sz w:val="20"/>
        </w:rPr>
        <w:t xml:space="preserve">    ○  三、未来1-3年市场趋势判断</w:t>
      </w:r>
    </w:p>
    <w:p>
      <w:pPr>
        <w:spacing w:before="40" w:after="40"/>
      </w:pPr>
      <w:r>
        <w:rPr>
          <w:color w:val="1A1A1A"/>
          <w:sz w:val="20"/>
        </w:rPr>
        <w:t xml:space="preserve">        ▪  3.1 行业经营格局演变</w:t>
      </w:r>
    </w:p>
    <w:p>
      <w:pPr>
        <w:spacing w:before="40" w:after="40"/>
      </w:pPr>
      <w:r>
        <w:rPr>
          <w:color w:val="1A1A1A"/>
          <w:sz w:val="20"/>
        </w:rPr>
        <w:t xml:space="preserve">        ▪  3.2 各公司市场偏好对比矩阵</w:t>
      </w:r>
    </w:p>
    <w:p>
      <w:pPr>
        <w:spacing w:before="40" w:after="40"/>
      </w:pPr>
      <w:r>
        <w:rPr>
          <w:color w:val="1A1A1A"/>
          <w:sz w:val="20"/>
        </w:rPr>
        <w:t xml:space="preserve">        ▪  3.3 竞争焦点</w:t>
      </w:r>
    </w:p>
    <w:p>
      <w:pPr>
        <w:spacing w:before="40" w:after="40"/>
      </w:pPr>
      <w:r>
        <w:rPr>
          <w:color w:val="1A1A1A"/>
          <w:sz w:val="20"/>
        </w:rPr>
        <w:t xml:space="preserve">        ▪  3.4 未来1-3年各公司策略总结</w:t>
      </w:r>
    </w:p>
    <w:p>
      <w:pPr>
        <w:spacing w:before="40" w:after="40"/>
      </w:pPr>
      <w:r>
        <w:rPr>
          <w:color w:val="1A1A1A"/>
          <w:sz w:val="20"/>
        </w:rPr>
        <w:t xml:space="preserve">    ○  四、关键战略洞察</w:t>
      </w:r>
    </w:p>
    <w:p>
      <w:pPr>
        <w:spacing w:before="40" w:after="40"/>
      </w:pPr>
      <w:r>
        <w:rPr>
          <w:color w:val="1A1A1A"/>
          <w:sz w:val="20"/>
        </w:rPr>
        <w:t xml:space="preserve">        ▪  4.1 中再集团的战略启示</w:t>
      </w:r>
    </w:p>
    <w:p>
      <w:pPr>
        <w:spacing w:before="40" w:after="40"/>
      </w:pPr>
      <w:r>
        <w:rPr>
          <w:color w:val="1A1A1A"/>
          <w:sz w:val="20"/>
        </w:rPr>
        <w:t xml:space="preserve">        ▪  4.2 外资再保险的战略启示</w:t>
      </w:r>
    </w:p>
    <w:p>
      <w:pPr>
        <w:spacing w:before="40" w:after="40"/>
      </w:pPr>
      <w:r>
        <w:rPr>
          <w:color w:val="1A1A1A"/>
          <w:sz w:val="20"/>
        </w:rPr>
        <w:t xml:space="preserve">        ▪  4.3 行业整体趋势</w:t>
      </w:r>
    </w:p>
    <w:p>
      <w:pPr>
        <w:spacing w:before="40" w:after="40"/>
      </w:pPr>
      <w:r>
        <w:rPr>
          <w:color w:val="1A1A1A"/>
          <w:sz w:val="20"/>
        </w:rPr>
        <w:t xml:space="preserve">    ○  五、结论与展望</w:t>
      </w:r>
    </w:p>
    <w:p>
      <w:pPr>
        <w:spacing w:before="40" w:after="40"/>
      </w:pPr>
      <w:r>
        <w:rPr>
          <w:color w:val="1A1A1A"/>
          <w:sz w:val="20"/>
        </w:rPr>
        <w:t xml:space="preserve">        ▪  5.1 市场总体判断</w:t>
      </w:r>
    </w:p>
    <w:p>
      <w:pPr>
        <w:spacing w:before="40" w:after="40"/>
      </w:pPr>
      <w:r>
        <w:rPr>
          <w:color w:val="1A1A1A"/>
          <w:sz w:val="20"/>
        </w:rPr>
        <w:t xml:space="preserve">        ▪  5.2 潜在变化因素</w:t>
      </w:r>
    </w:p>
    <w:p>
      <w:pPr>
        <w:spacing w:before="40" w:after="40"/>
      </w:pPr>
      <w:r>
        <w:rPr>
          <w:color w:val="1A1A1A"/>
          <w:sz w:val="20"/>
        </w:rPr>
        <w:t xml:space="preserve">        ▪  5.3 重点关注</w:t>
      </w:r>
    </w:p>
    <w:p>
      <w:pPr>
        <w:spacing w:before="40" w:after="40"/>
      </w:pPr>
      <w:r>
        <w:rPr>
          <w:color w:val="1A1A1A"/>
          <w:sz w:val="20"/>
        </w:rPr>
        <w:t xml:space="preserve">    ○  六、信息出处索引</w:t>
      </w:r>
    </w:p>
    <w:p>
      <w:r>
        <w:br w:type="page"/>
      </w:r>
    </w:p>
    <w:p>
      <w:pPr>
        <w:pBdr>
          <w:bottom w:val="single" w:sz="6" w:space="4" w:color="2C3E50"/>
        </w:pBdr>
        <w:spacing w:before="480" w:after="240"/>
      </w:pPr>
      <w:r>
        <w:rPr>
          <w:rFonts w:ascii="Arial" w:hAnsi="Arial" w:eastAsia="Arial"/>
          <w:b/>
          <w:color w:val="2C3E50"/>
          <w:sz w:val="44"/>
        </w:rPr>
        <w:t>国内再保险深度调研报告</w:t>
      </w:r>
    </w:p>
    <w:p>
      <w:pPr>
        <w:spacing w:before="60" w:after="60"/>
        <w:jc w:val="left"/>
      </w:pPr>
      <w:r>
        <w:rPr>
          <w:rFonts w:ascii="Arial" w:hAnsi="Arial"/>
          <w:b/>
          <w:color w:val="1A1A1A"/>
          <w:sz w:val="22"/>
        </w:rPr>
        <w:t>报告日期：</w:t>
      </w:r>
      <w:r>
        <w:rPr>
          <w:rFonts w:ascii="Arial" w:hAnsi="Arial"/>
          <w:color w:val="1A1A1A"/>
          <w:sz w:val="22"/>
        </w:rPr>
        <w:t xml:space="preserve"> 202年4月26日</w:t>
      </w:r>
    </w:p>
    <w:p>
      <w:pPr>
        <w:spacing w:before="60" w:after="60"/>
        <w:jc w:val="left"/>
      </w:pPr>
      <w:r>
        <w:rPr>
          <w:rFonts w:ascii="Arial" w:hAnsi="Arial"/>
          <w:b/>
          <w:color w:val="1A1A1A"/>
          <w:sz w:val="22"/>
        </w:rPr>
        <w:t>调研范围：</w:t>
      </w:r>
      <w:r>
        <w:rPr>
          <w:rFonts w:ascii="Arial" w:hAnsi="Arial"/>
          <w:color w:val="1A1A1A"/>
          <w:sz w:val="22"/>
        </w:rPr>
        <w:t xml:space="preserve"> 国内主要再保险公司经营策略、市场偏好、未来1-3年发展方向</w:t>
      </w:r>
    </w:p>
    <w:p>
      <w:pPr>
        <w:spacing w:before="60" w:after="60"/>
        <w:jc w:val="left"/>
      </w:pPr>
      <w:r>
        <w:rPr>
          <w:rFonts w:ascii="Arial" w:hAnsi="Arial"/>
          <w:b/>
          <w:color w:val="1A1A1A"/>
          <w:sz w:val="22"/>
        </w:rPr>
        <w:t>数据来源：</w:t>
      </w:r>
      <w:r>
        <w:rPr>
          <w:rFonts w:ascii="Arial" w:hAnsi="Arial"/>
          <w:color w:val="1A1A1A"/>
          <w:sz w:val="22"/>
        </w:rPr>
        <w:t xml:space="preserve"> 公开年报、监管公告、行业研报、新闻报道</w:t>
      </w:r>
    </w:p>
    <w:p>
      <w:pPr>
        <w:spacing w:before="120" w:after="120"/>
      </w:pPr>
      <w:r>
        <w:rPr>
          <w:color w:val="7F8C8D"/>
          <w:sz w:val="16"/>
        </w:rPr>
        <w:t>━━━━━━━━━━━━━━━━━━━━━━━━━━━━━━━━━━━━━━━━━━━━━━━━━━━━━━━━━━━━</w:t>
      </w:r>
    </w:p>
    <w:p>
      <w:pPr>
        <w:pBdr>
          <w:bottom w:val="single" w:sz="6" w:space="4" w:color="2C3E50"/>
        </w:pBdr>
        <w:spacing w:before="360" w:after="160"/>
      </w:pPr>
      <w:r>
        <w:rPr>
          <w:rFonts w:ascii="Arial" w:hAnsi="Arial" w:eastAsia="Arial"/>
          <w:b/>
          <w:color w:val="2C3E50"/>
          <w:sz w:val="36"/>
        </w:rPr>
        <w:t>一、中国再保险市场概览</w:t>
      </w:r>
    </w:p>
    <w:p>
      <w:pPr>
        <w:spacing w:before="240" w:after="120"/>
      </w:pPr>
      <w:r>
        <w:rPr>
          <w:rFonts w:ascii="Arial" w:hAnsi="Arial" w:eastAsia="Arial"/>
          <w:b/>
          <w:color w:val="7F8C8D"/>
          <w:sz w:val="30"/>
        </w:rPr>
        <w:t>1.1 市场格局</w:t>
      </w:r>
    </w:p>
    <w:p>
      <w:pPr>
        <w:spacing w:before="60" w:after="60"/>
        <w:jc w:val="left"/>
      </w:pPr>
      <w:r>
        <w:rPr>
          <w:rFonts w:ascii="Arial" w:hAnsi="Arial"/>
          <w:color w:val="1A1A1A"/>
          <w:sz w:val="22"/>
        </w:rPr>
        <w:t xml:space="preserve">中国再保险市场经过多年发展，形成了 </w:t>
      </w:r>
      <w:r>
        <w:rPr>
          <w:rFonts w:ascii="Arial" w:hAnsi="Arial"/>
          <w:b/>
          <w:color w:val="1A1A1A"/>
          <w:sz w:val="22"/>
        </w:rPr>
        <w:t>"1+N"</w:t>
      </w:r>
      <w:r>
        <w:rPr>
          <w:rFonts w:ascii="Arial" w:hAnsi="Arial"/>
          <w:color w:val="1A1A1A"/>
          <w:sz w:val="22"/>
        </w:rPr>
        <w:t xml:space="preserve"> 的市场格局：</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2C3E50"/>
          </w:tcPr>
          <w:p>
            <w:pPr>
              <w:jc w:val="center"/>
            </w:pPr>
            <w:r>
              <w:rPr>
                <w:rFonts w:ascii="Arial" w:hAnsi="Arial"/>
                <w:b/>
                <w:color w:val="FFFFFF"/>
                <w:sz w:val="22"/>
              </w:rPr>
              <w:t>层级</w:t>
            </w:r>
          </w:p>
        </w:tc>
        <w:tc>
          <w:tcPr>
            <w:tcW w:type="dxa" w:w="2340"/>
            <w:shd w:fill="2C3E50"/>
          </w:tcPr>
          <w:p>
            <w:pPr>
              <w:jc w:val="center"/>
            </w:pPr>
            <w:r>
              <w:rPr>
                <w:rFonts w:ascii="Arial" w:hAnsi="Arial"/>
                <w:b/>
                <w:color w:val="FFFFFF"/>
                <w:sz w:val="22"/>
              </w:rPr>
              <w:t>机构</w:t>
            </w:r>
          </w:p>
        </w:tc>
        <w:tc>
          <w:tcPr>
            <w:tcW w:type="dxa" w:w="2340"/>
            <w:shd w:fill="2C3E50"/>
          </w:tcPr>
          <w:p>
            <w:pPr>
              <w:jc w:val="center"/>
            </w:pPr>
            <w:r>
              <w:rPr>
                <w:rFonts w:ascii="Arial" w:hAnsi="Arial"/>
                <w:b/>
                <w:color w:val="FFFFFF"/>
                <w:sz w:val="22"/>
              </w:rPr>
              <w:t>性质</w:t>
            </w:r>
          </w:p>
        </w:tc>
        <w:tc>
          <w:tcPr>
            <w:tcW w:type="dxa" w:w="2340"/>
            <w:shd w:fill="2C3E50"/>
          </w:tcPr>
          <w:p>
            <w:pPr>
              <w:jc w:val="center"/>
            </w:pPr>
            <w:r>
              <w:rPr>
                <w:rFonts w:ascii="Arial" w:hAnsi="Arial"/>
                <w:b/>
                <w:color w:val="FFFFFF"/>
                <w:sz w:val="22"/>
              </w:rPr>
              <w:t>2025年保费收入(估算)</w:t>
            </w:r>
          </w:p>
        </w:tc>
      </w:tr>
      <w:tr>
        <w:tc>
          <w:tcPr>
            <w:tcW w:type="dxa" w:w="2340"/>
          </w:tcPr>
          <w:p>
            <w:r>
              <w:rPr>
                <w:rFonts w:ascii="Arial" w:hAnsi="Arial"/>
                <w:b/>
                <w:color w:val="1A1A1A"/>
                <w:sz w:val="20"/>
              </w:rPr>
              <w:t>第一梯队</w:t>
            </w:r>
          </w:p>
        </w:tc>
        <w:tc>
          <w:tcPr>
            <w:tcW w:type="dxa" w:w="2340"/>
          </w:tcPr>
          <w:p>
            <w:r>
              <w:rPr>
                <w:rFonts w:ascii="Arial" w:hAnsi="Arial"/>
                <w:color w:val="1A1A1A"/>
                <w:sz w:val="20"/>
              </w:rPr>
              <w:t>中再集团（中再产险+中再寿险）</w:t>
            </w:r>
          </w:p>
        </w:tc>
        <w:tc>
          <w:tcPr>
            <w:tcW w:type="dxa" w:w="2340"/>
          </w:tcPr>
          <w:p>
            <w:r>
              <w:rPr>
                <w:rFonts w:ascii="Arial" w:hAnsi="Arial"/>
                <w:color w:val="1A1A1A"/>
                <w:sz w:val="20"/>
              </w:rPr>
              <w:t>国有控股</w:t>
            </w:r>
          </w:p>
        </w:tc>
        <w:tc>
          <w:tcPr>
            <w:tcW w:type="dxa" w:w="2340"/>
          </w:tcPr>
          <w:p>
            <w:r>
              <w:rPr>
                <w:rFonts w:ascii="Arial" w:hAnsi="Arial"/>
                <w:color w:val="1A1A1A"/>
                <w:sz w:val="20"/>
              </w:rPr>
              <w:t>~500亿</w:t>
            </w:r>
          </w:p>
        </w:tc>
      </w:tr>
      <w:tr>
        <w:tc>
          <w:tcPr>
            <w:tcW w:type="dxa" w:w="2340"/>
            <w:shd w:fill="F8F9FA"/>
          </w:tcPr>
          <w:p>
            <w:r>
              <w:rPr>
                <w:rFonts w:ascii="Arial" w:hAnsi="Arial"/>
                <w:b/>
                <w:color w:val="1A1A1A"/>
                <w:sz w:val="20"/>
              </w:rPr>
              <w:t>第二梯队</w:t>
            </w:r>
          </w:p>
        </w:tc>
        <w:tc>
          <w:tcPr>
            <w:tcW w:type="dxa" w:w="2340"/>
            <w:shd w:fill="F8F9FA"/>
          </w:tcPr>
          <w:p>
            <w:r>
              <w:rPr>
                <w:rFonts w:ascii="Arial" w:hAnsi="Arial"/>
                <w:color w:val="1A1A1A"/>
                <w:sz w:val="20"/>
              </w:rPr>
              <w:t>太平再保险、人保再保险</w:t>
            </w:r>
          </w:p>
        </w:tc>
        <w:tc>
          <w:tcPr>
            <w:tcW w:type="dxa" w:w="2340"/>
            <w:shd w:fill="F8F9FA"/>
          </w:tcPr>
          <w:p>
            <w:r>
              <w:rPr>
                <w:rFonts w:ascii="Arial" w:hAnsi="Arial"/>
                <w:color w:val="1A1A1A"/>
                <w:sz w:val="20"/>
              </w:rPr>
              <w:t>国有</w:t>
            </w:r>
          </w:p>
        </w:tc>
        <w:tc>
          <w:tcPr>
            <w:tcW w:type="dxa" w:w="2340"/>
            <w:shd w:fill="F8F9FA"/>
          </w:tcPr>
          <w:p>
            <w:r>
              <w:rPr>
                <w:rFonts w:ascii="Arial" w:hAnsi="Arial"/>
                <w:color w:val="1A1A1A"/>
                <w:sz w:val="20"/>
              </w:rPr>
              <w:t>~80-120亿</w:t>
            </w:r>
          </w:p>
        </w:tc>
      </w:tr>
      <w:tr>
        <w:tc>
          <w:tcPr>
            <w:tcW w:type="dxa" w:w="2340"/>
          </w:tcPr>
          <w:p>
            <w:r>
              <w:rPr>
                <w:rFonts w:ascii="Arial" w:hAnsi="Arial"/>
                <w:b/>
                <w:color w:val="1A1A1A"/>
                <w:sz w:val="20"/>
              </w:rPr>
              <w:t>第二梯队</w:t>
            </w:r>
          </w:p>
        </w:tc>
        <w:tc>
          <w:tcPr>
            <w:tcW w:type="dxa" w:w="2340"/>
          </w:tcPr>
          <w:p>
            <w:r>
              <w:rPr>
                <w:rFonts w:ascii="Arial" w:hAnsi="Arial"/>
                <w:color w:val="1A1A1A"/>
                <w:sz w:val="20"/>
              </w:rPr>
              <w:t>慕尼黑再保险（中国）、瑞士再保险（中国）</w:t>
            </w:r>
          </w:p>
        </w:tc>
        <w:tc>
          <w:tcPr>
            <w:tcW w:type="dxa" w:w="2340"/>
          </w:tcPr>
          <w:p>
            <w:r>
              <w:rPr>
                <w:rFonts w:ascii="Arial" w:hAnsi="Arial"/>
                <w:color w:val="1A1A1A"/>
                <w:sz w:val="20"/>
              </w:rPr>
              <w:t>外资</w:t>
            </w:r>
          </w:p>
        </w:tc>
        <w:tc>
          <w:tcPr>
            <w:tcW w:type="dxa" w:w="2340"/>
          </w:tcPr>
          <w:p>
            <w:r>
              <w:rPr>
                <w:rFonts w:ascii="Arial" w:hAnsi="Arial"/>
                <w:color w:val="1A1A1A"/>
                <w:sz w:val="20"/>
              </w:rPr>
              <w:t>~60-100亿</w:t>
            </w:r>
          </w:p>
        </w:tc>
      </w:tr>
      <w:tr>
        <w:tc>
          <w:tcPr>
            <w:tcW w:type="dxa" w:w="2340"/>
            <w:shd w:fill="F8F9FA"/>
          </w:tcPr>
          <w:p>
            <w:r>
              <w:rPr>
                <w:rFonts w:ascii="Arial" w:hAnsi="Arial"/>
                <w:b/>
                <w:color w:val="1A1A1A"/>
                <w:sz w:val="20"/>
              </w:rPr>
              <w:t>第三梯队</w:t>
            </w:r>
          </w:p>
        </w:tc>
        <w:tc>
          <w:tcPr>
            <w:tcW w:type="dxa" w:w="2340"/>
            <w:shd w:fill="F8F9FA"/>
          </w:tcPr>
          <w:p>
            <w:r>
              <w:rPr>
                <w:rFonts w:ascii="Arial" w:hAnsi="Arial"/>
                <w:color w:val="1A1A1A"/>
                <w:sz w:val="20"/>
              </w:rPr>
              <w:t>汉诺威再保险（中国）、法国再保险（中国）</w:t>
            </w:r>
          </w:p>
        </w:tc>
        <w:tc>
          <w:tcPr>
            <w:tcW w:type="dxa" w:w="2340"/>
            <w:shd w:fill="F8F9FA"/>
          </w:tcPr>
          <w:p>
            <w:r>
              <w:rPr>
                <w:rFonts w:ascii="Arial" w:hAnsi="Arial"/>
                <w:color w:val="1A1A1A"/>
                <w:sz w:val="20"/>
              </w:rPr>
              <w:t>外资</w:t>
            </w:r>
          </w:p>
        </w:tc>
        <w:tc>
          <w:tcPr>
            <w:tcW w:type="dxa" w:w="2340"/>
            <w:shd w:fill="F8F9FA"/>
          </w:tcPr>
          <w:p>
            <w:r>
              <w:rPr>
                <w:rFonts w:ascii="Arial" w:hAnsi="Arial"/>
                <w:color w:val="1A1A1A"/>
                <w:sz w:val="20"/>
              </w:rPr>
              <w:t>~30-60亿</w:t>
            </w:r>
          </w:p>
        </w:tc>
      </w:tr>
      <w:tr>
        <w:tc>
          <w:tcPr>
            <w:tcW w:type="dxa" w:w="2340"/>
          </w:tcPr>
          <w:p>
            <w:r>
              <w:rPr>
                <w:rFonts w:ascii="Arial" w:hAnsi="Arial"/>
                <w:b/>
                <w:color w:val="1A1A1A"/>
                <w:sz w:val="20"/>
              </w:rPr>
              <w:t>新兴力量</w:t>
            </w:r>
          </w:p>
        </w:tc>
        <w:tc>
          <w:tcPr>
            <w:tcW w:type="dxa" w:w="2340"/>
          </w:tcPr>
          <w:p>
            <w:r>
              <w:rPr>
                <w:rFonts w:ascii="Arial" w:hAnsi="Arial"/>
                <w:color w:val="1A1A1A"/>
                <w:sz w:val="20"/>
              </w:rPr>
              <w:t>前海再保险、大韩再保险（中国）等</w:t>
            </w:r>
          </w:p>
        </w:tc>
        <w:tc>
          <w:tcPr>
            <w:tcW w:type="dxa" w:w="2340"/>
          </w:tcPr>
          <w:p>
            <w:r>
              <w:rPr>
                <w:rFonts w:ascii="Arial" w:hAnsi="Arial"/>
                <w:color w:val="1A1A1A"/>
                <w:sz w:val="20"/>
              </w:rPr>
              <w:t>混合/外资</w:t>
            </w:r>
          </w:p>
        </w:tc>
        <w:tc>
          <w:tcPr>
            <w:tcW w:type="dxa" w:w="2340"/>
          </w:tcPr>
          <w:p>
            <w:r>
              <w:rPr>
                <w:rFonts w:ascii="Arial" w:hAnsi="Arial"/>
                <w:color w:val="1A1A1A"/>
                <w:sz w:val="20"/>
              </w:rPr>
              <w:t>~10-30亿</w:t>
            </w:r>
          </w:p>
        </w:tc>
      </w:tr>
      <w:tr>
        <w:tc>
          <w:tcPr>
            <w:tcW w:type="dxa" w:w="2340"/>
            <w:shd w:fill="F8F9FA"/>
          </w:tcPr>
          <w:p>
            <w:r>
              <w:rPr>
                <w:rFonts w:ascii="Arial" w:hAnsi="Arial"/>
                <w:b/>
                <w:color w:val="1A1A1A"/>
                <w:sz w:val="20"/>
              </w:rPr>
              <w:t>特殊主体</w:t>
            </w:r>
          </w:p>
        </w:tc>
        <w:tc>
          <w:tcPr>
            <w:tcW w:type="dxa" w:w="2340"/>
            <w:shd w:fill="F8F9FA"/>
          </w:tcPr>
          <w:p>
            <w:r>
              <w:rPr>
                <w:rFonts w:ascii="Arial" w:hAnsi="Arial"/>
                <w:color w:val="1A1A1A"/>
                <w:sz w:val="20"/>
              </w:rPr>
              <w:t>劳合社（中国）、信利再保险（中国）</w:t>
            </w:r>
          </w:p>
        </w:tc>
        <w:tc>
          <w:tcPr>
            <w:tcW w:type="dxa" w:w="2340"/>
            <w:shd w:fill="F8F9FA"/>
          </w:tcPr>
          <w:p>
            <w:r>
              <w:rPr>
                <w:rFonts w:ascii="Arial" w:hAnsi="Arial"/>
                <w:color w:val="1A1A1A"/>
                <w:sz w:val="20"/>
              </w:rPr>
              <w:t>外资</w:t>
            </w:r>
          </w:p>
        </w:tc>
        <w:tc>
          <w:tcPr>
            <w:tcW w:type="dxa" w:w="2340"/>
            <w:shd w:fill="F8F9FA"/>
          </w:tcPr>
          <w:p>
            <w:r>
              <w:rPr>
                <w:rFonts w:ascii="Arial" w:hAnsi="Arial"/>
                <w:color w:val="1A1A1A"/>
                <w:sz w:val="20"/>
              </w:rPr>
              <w:t>~10-20亿</w:t>
            </w:r>
          </w:p>
        </w:tc>
      </w:tr>
    </w:tbl>
    <w:p/>
    <w:p>
      <w:pPr>
        <w:pBdr>
          <w:left w:val="single" w:sz="18" w:space="8" w:color="2C3E50"/>
        </w:pBdr>
        <w:spacing w:before="120" w:after="120"/>
        <w:ind w:left="567"/>
        <w:shd w:fill="F5F5F5" w:val="clear"/>
      </w:pPr>
      <w:r>
        <w:rPr>
          <w:rFonts w:ascii="Arial" w:hAnsi="Arial"/>
          <w:b/>
          <w:color w:val="1A1A1A"/>
          <w:sz w:val="22"/>
        </w:rPr>
        <w:t>数据来源：</w:t>
      </w:r>
      <w:r>
        <w:rPr>
          <w:rFonts w:ascii="Arial" w:hAnsi="Arial"/>
          <w:color w:val="1A1A1A"/>
          <w:sz w:val="22"/>
        </w:rPr>
        <w:t xml:space="preserve"> 银保监会（现国家金融监督管理总局）公开披露信息、各公司年报综合推算</w:t>
      </w:r>
    </w:p>
    <w:p>
      <w:pPr>
        <w:spacing w:before="240" w:after="120"/>
      </w:pPr>
      <w:r>
        <w:rPr>
          <w:rFonts w:ascii="Arial" w:hAnsi="Arial" w:eastAsia="Arial"/>
          <w:b/>
          <w:color w:val="7F8C8D"/>
          <w:sz w:val="30"/>
        </w:rPr>
        <w:t>1.2 监管环境变化</w:t>
      </w:r>
    </w:p>
    <w:p>
      <w:pPr>
        <w:spacing w:before="60" w:after="60"/>
        <w:jc w:val="left"/>
      </w:pPr>
      <w:r>
        <w:rPr>
          <w:rFonts w:ascii="Arial" w:hAnsi="Arial"/>
          <w:b/>
          <w:color w:val="1A1A1A"/>
          <w:sz w:val="22"/>
        </w:rPr>
        <w:t>未来1-3年关键监管趋势：</w:t>
      </w:r>
    </w:p>
    <w:p>
      <w:pPr>
        <w:spacing w:before="40" w:after="40"/>
        <w:ind w:left="567" w:hanging="283"/>
      </w:pPr>
      <w:r>
        <w:rPr>
          <w:rFonts w:ascii="Arial" w:hAnsi="Arial"/>
          <w:b/>
          <w:color w:val="2C3E50"/>
          <w:sz w:val="22"/>
        </w:rPr>
        <w:t xml:space="preserve">1. </w:t>
      </w:r>
      <w:r>
        <w:rPr>
          <w:rFonts w:ascii="Arial" w:hAnsi="Arial"/>
          <w:b/>
          <w:color w:val="1A1A1A"/>
          <w:sz w:val="22"/>
        </w:rPr>
        <w:t>偿二代二期工程全面实施</w:t>
      </w:r>
      <w:r>
        <w:rPr>
          <w:rFonts w:ascii="Arial" w:hAnsi="Arial"/>
          <w:color w:val="1A1A1A"/>
          <w:sz w:val="22"/>
        </w:rPr>
        <w:t>：资本约束显著增强，对再保险公司的资本管理和风险计量提出更高要求，推动行业从规模导向转向质量导向</w:t>
      </w:r>
    </w:p>
    <w:p>
      <w:pPr>
        <w:spacing w:before="40" w:after="40"/>
        <w:ind w:left="567" w:hanging="283"/>
      </w:pPr>
      <w:r>
        <w:rPr>
          <w:rFonts w:ascii="Arial" w:hAnsi="Arial"/>
          <w:b/>
          <w:color w:val="2C3E50"/>
          <w:sz w:val="22"/>
        </w:rPr>
        <w:t xml:space="preserve">2. </w:t>
      </w:r>
      <w:r>
        <w:rPr>
          <w:rFonts w:ascii="Arial" w:hAnsi="Arial"/>
          <w:b/>
          <w:color w:val="1A1A1A"/>
          <w:sz w:val="22"/>
        </w:rPr>
        <w:t>"一带一路"再保险共同体深化</w:t>
      </w:r>
      <w:r>
        <w:rPr>
          <w:rFonts w:ascii="Arial" w:hAnsi="Arial"/>
          <w:color w:val="1A1A1A"/>
          <w:sz w:val="22"/>
        </w:rPr>
        <w:t>：政策引导再保险资源向海外特殊风险领域倾斜</w:t>
      </w:r>
    </w:p>
    <w:p>
      <w:pPr>
        <w:spacing w:before="40" w:after="40"/>
        <w:ind w:left="567" w:hanging="283"/>
      </w:pPr>
      <w:r>
        <w:rPr>
          <w:rFonts w:ascii="Arial" w:hAnsi="Arial"/>
          <w:b/>
          <w:color w:val="2C3E50"/>
          <w:sz w:val="22"/>
        </w:rPr>
        <w:t xml:space="preserve">3. </w:t>
      </w:r>
      <w:r>
        <w:rPr>
          <w:rFonts w:ascii="Arial" w:hAnsi="Arial"/>
          <w:b/>
          <w:color w:val="1A1A1A"/>
          <w:sz w:val="22"/>
        </w:rPr>
        <w:t>巨灾保险制度</w:t>
      </w:r>
      <w:r>
        <w:rPr>
          <w:rFonts w:ascii="Arial" w:hAnsi="Arial"/>
          <w:color w:val="1A1A1A"/>
          <w:sz w:val="22"/>
        </w:rPr>
        <w:t>：地震巨灾保险、洪水保险等制度建设加速，催生政策性再保险需求</w:t>
      </w:r>
    </w:p>
    <w:p>
      <w:pPr>
        <w:spacing w:before="40" w:after="40"/>
        <w:ind w:left="567" w:hanging="283"/>
      </w:pPr>
      <w:r>
        <w:rPr>
          <w:rFonts w:ascii="Arial" w:hAnsi="Arial"/>
          <w:b/>
          <w:color w:val="2C3E50"/>
          <w:sz w:val="22"/>
        </w:rPr>
        <w:t xml:space="preserve">4. </w:t>
      </w:r>
      <w:r>
        <w:rPr>
          <w:rFonts w:ascii="Arial" w:hAnsi="Arial"/>
          <w:b/>
          <w:color w:val="1A1A1A"/>
          <w:sz w:val="22"/>
        </w:rPr>
        <w:t>上海再保险中心建设</w:t>
      </w:r>
      <w:r>
        <w:rPr>
          <w:rFonts w:ascii="Arial" w:hAnsi="Arial"/>
          <w:color w:val="1A1A1A"/>
          <w:sz w:val="22"/>
        </w:rPr>
        <w:t>：临港新片区再保险国际板建设提速，吸引国际再保险机构进入</w:t>
      </w:r>
    </w:p>
    <w:p>
      <w:pPr>
        <w:spacing w:before="40" w:after="40"/>
        <w:ind w:left="567" w:hanging="283"/>
      </w:pPr>
      <w:r>
        <w:rPr>
          <w:rFonts w:ascii="Arial" w:hAnsi="Arial"/>
          <w:b/>
          <w:color w:val="2C3E50"/>
          <w:sz w:val="22"/>
        </w:rPr>
        <w:t xml:space="preserve">5. </w:t>
      </w:r>
      <w:r>
        <w:rPr>
          <w:rFonts w:ascii="Arial" w:hAnsi="Arial"/>
          <w:b/>
          <w:color w:val="1A1A1A"/>
          <w:sz w:val="22"/>
        </w:rPr>
        <w:t>数据安全与科技监管</w:t>
      </w:r>
      <w:r>
        <w:rPr>
          <w:rFonts w:ascii="Arial" w:hAnsi="Arial"/>
          <w:color w:val="1A1A1A"/>
          <w:sz w:val="22"/>
        </w:rPr>
        <w:t>：数据出境管理、AI应用等新型监管要求影响经营模式</w:t>
      </w:r>
    </w:p>
    <w:p>
      <w:pPr>
        <w:pBdr>
          <w:left w:val="single" w:sz="18" w:space="8" w:color="2C3E50"/>
        </w:pBdr>
        <w:spacing w:before="120" w:after="120"/>
        <w:ind w:left="567"/>
        <w:shd w:fill="F5F5F5" w:val="clear"/>
      </w:pPr>
      <w:r>
        <w:rPr>
          <w:rFonts w:ascii="Arial" w:hAnsi="Arial"/>
          <w:b/>
          <w:color w:val="1A1A1A"/>
          <w:sz w:val="22"/>
        </w:rPr>
        <w:t>出处：</w:t>
      </w:r>
      <w:r>
        <w:rPr>
          <w:rFonts w:ascii="Arial" w:hAnsi="Arial"/>
          <w:color w:val="1A1A1A"/>
          <w:sz w:val="22"/>
        </w:rPr>
        <w:t xml:space="preserve"> 国家金融监督管理总局2025-2026年政策文件、国务院《关于推进上海国际再保险中心建设的意见》</w:t>
      </w:r>
    </w:p>
    <w:p>
      <w:pPr>
        <w:spacing w:before="120" w:after="120"/>
      </w:pPr>
      <w:r>
        <w:rPr>
          <w:color w:val="7F8C8D"/>
          <w:sz w:val="16"/>
        </w:rPr>
        <w:t>━━━━━━━━━━━━━━━━━━━━━━━━━━━━━━━━━━━━━━━━━━━━━━━━━━━━━━━━━━━━</w:t>
      </w:r>
    </w:p>
    <w:p>
      <w:pPr>
        <w:pBdr>
          <w:bottom w:val="single" w:sz="6" w:space="4" w:color="2C3E50"/>
        </w:pBdr>
        <w:spacing w:before="360" w:after="160"/>
      </w:pPr>
      <w:r>
        <w:rPr>
          <w:rFonts w:ascii="Arial" w:hAnsi="Arial" w:eastAsia="Arial"/>
          <w:b/>
          <w:color w:val="2C3E50"/>
          <w:sz w:val="36"/>
        </w:rPr>
        <w:t>二、主要再保险公司经营策略分析</w:t>
      </w:r>
    </w:p>
    <w:p>
      <w:pPr>
        <w:spacing w:before="240" w:after="120"/>
      </w:pPr>
      <w:r>
        <w:rPr>
          <w:rFonts w:ascii="Arial" w:hAnsi="Arial" w:eastAsia="Arial"/>
          <w:b/>
          <w:color w:val="7F8C8D"/>
          <w:sz w:val="30"/>
        </w:rPr>
        <w:t>2.1 中再（中国再保险集团）—— 绝对龙头</w:t>
      </w:r>
    </w:p>
    <w:p>
      <w:pPr>
        <w:spacing w:before="60" w:after="60"/>
        <w:jc w:val="left"/>
      </w:pPr>
      <w:r>
        <w:rPr>
          <w:rFonts w:ascii="Arial" w:hAnsi="Arial"/>
          <w:color w:val="1A1A1A"/>
          <w:sz w:val="22"/>
        </w:rPr>
        <w:t xml:space="preserve">📊 </w:t>
      </w:r>
      <w:r>
        <w:rPr>
          <w:rFonts w:ascii="Arial" w:hAnsi="Arial"/>
          <w:b/>
          <w:color w:val="1A1A1A"/>
          <w:sz w:val="22"/>
        </w:rPr>
        <w:t>核心数据（2025年）</w:t>
      </w:r>
    </w:p>
    <w:p>
      <w:pPr>
        <w:spacing w:before="40" w:after="40"/>
        <w:ind w:left="567" w:hanging="283"/>
      </w:pPr>
      <w:r>
        <w:rPr>
          <w:rFonts w:ascii="Arial" w:hAnsi="Arial"/>
          <w:b/>
          <w:color w:val="2C3E50"/>
          <w:sz w:val="22"/>
        </w:rPr>
        <w:t xml:space="preserve">• </w:t>
      </w:r>
      <w:r>
        <w:rPr>
          <w:rFonts w:ascii="Arial" w:hAnsi="Arial"/>
          <w:color w:val="1A1A1A"/>
          <w:sz w:val="22"/>
        </w:rPr>
        <w:t>总保费收入：约500亿元（估算）</w:t>
      </w:r>
    </w:p>
    <w:p>
      <w:pPr>
        <w:spacing w:before="40" w:after="40"/>
        <w:ind w:left="567" w:hanging="283"/>
      </w:pPr>
      <w:r>
        <w:rPr>
          <w:rFonts w:ascii="Arial" w:hAnsi="Arial"/>
          <w:b/>
          <w:color w:val="2C3E50"/>
          <w:sz w:val="22"/>
        </w:rPr>
        <w:t xml:space="preserve">• </w:t>
      </w:r>
      <w:r>
        <w:rPr>
          <w:rFonts w:ascii="Arial" w:hAnsi="Arial"/>
          <w:color w:val="1A1A1A"/>
          <w:sz w:val="22"/>
        </w:rPr>
        <w:t>集团总资产：约4,000亿元</w:t>
      </w:r>
    </w:p>
    <w:p>
      <w:pPr>
        <w:spacing w:before="40" w:after="40"/>
        <w:ind w:left="567" w:hanging="283"/>
      </w:pPr>
      <w:r>
        <w:rPr>
          <w:rFonts w:ascii="Arial" w:hAnsi="Arial"/>
          <w:b/>
          <w:color w:val="2C3E50"/>
          <w:sz w:val="22"/>
        </w:rPr>
        <w:t xml:space="preserve">• </w:t>
      </w:r>
      <w:r>
        <w:rPr>
          <w:rFonts w:ascii="Arial" w:hAnsi="Arial"/>
          <w:color w:val="1A1A1A"/>
          <w:sz w:val="22"/>
        </w:rPr>
        <w:t>国际业务占比：约40-45%</w:t>
      </w:r>
    </w:p>
    <w:p>
      <w:pPr>
        <w:spacing w:before="40" w:after="40"/>
        <w:ind w:left="567" w:hanging="283"/>
      </w:pPr>
      <w:r>
        <w:rPr>
          <w:rFonts w:ascii="Arial" w:hAnsi="Arial"/>
          <w:b/>
          <w:color w:val="2C3E50"/>
          <w:sz w:val="22"/>
        </w:rPr>
        <w:t xml:space="preserve">• </w:t>
      </w:r>
      <w:r>
        <w:rPr>
          <w:rFonts w:ascii="Arial" w:hAnsi="Arial"/>
          <w:color w:val="1A1A1A"/>
          <w:sz w:val="22"/>
        </w:rPr>
        <w:t>市场份额：国内财产再保险市场约</w:t>
      </w:r>
      <w:r>
        <w:rPr>
          <w:rFonts w:ascii="Arial" w:hAnsi="Arial"/>
          <w:b/>
          <w:color w:val="1A1A1A"/>
          <w:sz w:val="22"/>
        </w:rPr>
        <w:t>35-40%</w:t>
      </w:r>
      <w:r>
        <w:rPr>
          <w:rFonts w:ascii="Arial" w:hAnsi="Arial"/>
          <w:color w:val="1A1A1A"/>
          <w:sz w:val="22"/>
        </w:rPr>
        <w:t>，人身再保险约</w:t>
      </w:r>
      <w:r>
        <w:rPr>
          <w:rFonts w:ascii="Arial" w:hAnsi="Arial"/>
          <w:b/>
          <w:color w:val="1A1A1A"/>
          <w:sz w:val="22"/>
        </w:rPr>
        <w:t>30-35%</w:t>
      </w:r>
    </w:p>
    <w:p>
      <w:pPr>
        <w:spacing w:before="60" w:after="60"/>
        <w:jc w:val="left"/>
      </w:pPr>
      <w:r>
        <w:rPr>
          <w:rFonts w:ascii="Arial" w:hAnsi="Arial"/>
          <w:color w:val="1A1A1A"/>
          <w:sz w:val="22"/>
        </w:rPr>
        <w:t xml:space="preserve">🏛️ </w:t>
      </w:r>
      <w:r>
        <w:rPr>
          <w:rFonts w:ascii="Arial" w:hAnsi="Arial"/>
          <w:b/>
          <w:color w:val="1A1A1A"/>
          <w:sz w:val="22"/>
        </w:rPr>
        <w:t>企业定位</w:t>
      </w:r>
    </w:p>
    <w:p>
      <w:pPr>
        <w:pBdr>
          <w:left w:val="single" w:sz="18" w:space="8" w:color="2C3E50"/>
        </w:pBdr>
        <w:spacing w:before="120" w:after="120"/>
        <w:ind w:left="567"/>
        <w:shd w:fill="F5F5F5" w:val="clear"/>
      </w:pPr>
      <w:r>
        <w:rPr>
          <w:rFonts w:ascii="Arial" w:hAnsi="Arial"/>
          <w:color w:val="1A1A1A"/>
          <w:sz w:val="22"/>
        </w:rPr>
        <w:t xml:space="preserve">"再保险国家队、主力军"——2026年4月中国"一带一路"再保险共同体会议 2025年被国际保险监督官协会（IAIS）和国家金融监督管理总局认定为 </w:t>
      </w:r>
      <w:r>
        <w:rPr>
          <w:rFonts w:ascii="Arial" w:hAnsi="Arial"/>
          <w:b/>
          <w:color w:val="1A1A1A"/>
          <w:sz w:val="22"/>
        </w:rPr>
        <w:t>境内首家国际保险集团</w:t>
      </w:r>
    </w:p>
    <w:p>
      <w:pPr>
        <w:spacing w:before="60" w:after="60"/>
        <w:jc w:val="left"/>
      </w:pPr>
      <w:r>
        <w:rPr>
          <w:rFonts w:ascii="Arial" w:hAnsi="Arial"/>
          <w:color w:val="1A1A1A"/>
          <w:sz w:val="22"/>
        </w:rPr>
        <w:t xml:space="preserve">🎯 </w:t>
      </w:r>
      <w:r>
        <w:rPr>
          <w:rFonts w:ascii="Arial" w:hAnsi="Arial"/>
          <w:b/>
          <w:color w:val="1A1A1A"/>
          <w:sz w:val="2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2C3E50"/>
          </w:tcPr>
          <w:p>
            <w:pPr>
              <w:jc w:val="center"/>
            </w:pPr>
            <w:r>
              <w:rPr>
                <w:rFonts w:ascii="Arial" w:hAnsi="Arial"/>
                <w:b/>
                <w:color w:val="FFFFFF"/>
                <w:sz w:val="22"/>
              </w:rPr>
              <w:t>战略维度</w:t>
            </w:r>
          </w:p>
        </w:tc>
        <w:tc>
          <w:tcPr>
            <w:tcW w:type="dxa" w:w="3120"/>
            <w:shd w:fill="2C3E50"/>
          </w:tcPr>
          <w:p>
            <w:pPr>
              <w:jc w:val="center"/>
            </w:pPr>
            <w:r>
              <w:rPr>
                <w:rFonts w:ascii="Arial" w:hAnsi="Arial"/>
                <w:b/>
                <w:color w:val="FFFFFF"/>
                <w:sz w:val="22"/>
              </w:rPr>
              <w:t>具体措施</w:t>
            </w:r>
          </w:p>
        </w:tc>
        <w:tc>
          <w:tcPr>
            <w:tcW w:type="dxa" w:w="3120"/>
            <w:shd w:fill="2C3E50"/>
          </w:tcPr>
          <w:p>
            <w:pPr>
              <w:jc w:val="center"/>
            </w:pPr>
            <w:r>
              <w:rPr>
                <w:rFonts w:ascii="Arial" w:hAnsi="Arial"/>
                <w:b/>
                <w:color w:val="FFFFFF"/>
                <w:sz w:val="22"/>
              </w:rPr>
              <w:t>出处</w:t>
            </w:r>
          </w:p>
        </w:tc>
      </w:tr>
      <w:tr>
        <w:tc>
          <w:tcPr>
            <w:tcW w:type="dxa" w:w="3120"/>
          </w:tcPr>
          <w:p>
            <w:r>
              <w:rPr>
                <w:rFonts w:ascii="Arial" w:hAnsi="Arial"/>
                <w:b/>
                <w:color w:val="1A1A1A"/>
                <w:sz w:val="20"/>
              </w:rPr>
              <w:t>核心</w:t>
            </w:r>
          </w:p>
        </w:tc>
        <w:tc>
          <w:tcPr>
            <w:tcW w:type="dxa" w:w="3120"/>
          </w:tcPr>
          <w:p>
            <w:r>
              <w:rPr>
                <w:rFonts w:ascii="Arial" w:hAnsi="Arial"/>
                <w:color w:val="1A1A1A"/>
                <w:sz w:val="20"/>
              </w:rPr>
              <w:t>"发展有规模、承保增效益、投资要稳健"的经营理念</w:t>
            </w:r>
          </w:p>
        </w:tc>
        <w:tc>
          <w:tcPr>
            <w:tcW w:type="dxa" w:w="3120"/>
          </w:tcPr>
          <w:p>
            <w:r>
              <w:rPr>
                <w:rFonts w:ascii="Arial" w:hAnsi="Arial"/>
                <w:color w:val="1A1A1A"/>
                <w:sz w:val="20"/>
              </w:rPr>
              <w:t>2026年工作会议</w:t>
            </w:r>
          </w:p>
        </w:tc>
      </w:tr>
      <w:tr>
        <w:tc>
          <w:tcPr>
            <w:tcW w:type="dxa" w:w="3120"/>
            <w:shd w:fill="F8F9FA"/>
          </w:tcPr>
          <w:p>
            <w:r>
              <w:rPr>
                <w:rFonts w:ascii="Arial" w:hAnsi="Arial"/>
                <w:b/>
                <w:color w:val="1A1A1A"/>
                <w:sz w:val="20"/>
              </w:rPr>
              <w:t>业务转型</w:t>
            </w:r>
          </w:p>
        </w:tc>
        <w:tc>
          <w:tcPr>
            <w:tcW w:type="dxa" w:w="3120"/>
            <w:shd w:fill="F8F9FA"/>
          </w:tcPr>
          <w:p>
            <w:r>
              <w:rPr>
                <w:rFonts w:ascii="Arial" w:hAnsi="Arial"/>
                <w:color w:val="1A1A1A"/>
                <w:sz w:val="20"/>
              </w:rPr>
              <w:t>制定再保险转型发展路线图、直接保险高质量发展路线图、保险科技创新发展路线图</w:t>
            </w:r>
          </w:p>
        </w:tc>
        <w:tc>
          <w:tcPr>
            <w:tcW w:type="dxa" w:w="3120"/>
            <w:shd w:fill="F8F9FA"/>
          </w:tcPr>
          <w:p>
            <w:r>
              <w:rPr>
                <w:rFonts w:ascii="Arial" w:hAnsi="Arial"/>
                <w:color w:val="1A1A1A"/>
                <w:sz w:val="20"/>
              </w:rPr>
              <w:t>2026年工作会议</w:t>
            </w:r>
          </w:p>
        </w:tc>
      </w:tr>
      <w:tr>
        <w:tc>
          <w:tcPr>
            <w:tcW w:type="dxa" w:w="3120"/>
          </w:tcPr>
          <w:p>
            <w:r>
              <w:rPr>
                <w:rFonts w:ascii="Arial" w:hAnsi="Arial"/>
                <w:b/>
                <w:color w:val="1A1A1A"/>
                <w:sz w:val="20"/>
              </w:rPr>
              <w:t>国际化</w:t>
            </w:r>
          </w:p>
        </w:tc>
        <w:tc>
          <w:tcPr>
            <w:tcW w:type="dxa" w:w="3120"/>
          </w:tcPr>
          <w:p>
            <w:r>
              <w:rPr>
                <w:rFonts w:ascii="Arial" w:hAnsi="Arial"/>
                <w:color w:val="1A1A1A"/>
                <w:sz w:val="20"/>
              </w:rPr>
              <w:t>建设覆盖全球的风险保障与服务网络；聚焦政治暴力险、恐怖主义险、延迟完工责任等特殊风险领域</w:t>
            </w:r>
          </w:p>
        </w:tc>
        <w:tc>
          <w:tcPr>
            <w:tcW w:type="dxa" w:w="3120"/>
          </w:tcPr>
          <w:p>
            <w:r>
              <w:rPr>
                <w:rFonts w:ascii="Arial" w:hAnsi="Arial"/>
                <w:color w:val="1A1A1A"/>
                <w:sz w:val="20"/>
              </w:rPr>
              <w:t>一带一路共同体会议</w:t>
            </w:r>
          </w:p>
        </w:tc>
      </w:tr>
      <w:tr>
        <w:tc>
          <w:tcPr>
            <w:tcW w:type="dxa" w:w="3120"/>
            <w:shd w:fill="F8F9FA"/>
          </w:tcPr>
          <w:p>
            <w:r>
              <w:rPr>
                <w:rFonts w:ascii="Arial" w:hAnsi="Arial"/>
                <w:b/>
                <w:color w:val="1A1A1A"/>
                <w:sz w:val="20"/>
              </w:rPr>
              <w:t>科技赋能</w:t>
            </w:r>
          </w:p>
        </w:tc>
        <w:tc>
          <w:tcPr>
            <w:tcW w:type="dxa" w:w="3120"/>
            <w:shd w:fill="F8F9FA"/>
          </w:tcPr>
          <w:p>
            <w:r>
              <w:rPr>
                <w:rFonts w:ascii="Arial" w:hAnsi="Arial"/>
                <w:color w:val="1A1A1A"/>
                <w:sz w:val="20"/>
              </w:rPr>
              <w:t>数字化转型稳步推进</w:t>
            </w:r>
          </w:p>
        </w:tc>
        <w:tc>
          <w:tcPr>
            <w:tcW w:type="dxa" w:w="3120"/>
            <w:shd w:fill="F8F9FA"/>
          </w:tcPr>
          <w:p>
            <w:r>
              <w:rPr>
                <w:rFonts w:ascii="Arial" w:hAnsi="Arial"/>
                <w:color w:val="1A1A1A"/>
                <w:sz w:val="20"/>
              </w:rPr>
              <w:t>2025年业绩发布会</w:t>
            </w:r>
          </w:p>
        </w:tc>
      </w:tr>
      <w:tr>
        <w:tc>
          <w:tcPr>
            <w:tcW w:type="dxa" w:w="3120"/>
          </w:tcPr>
          <w:p>
            <w:r>
              <w:rPr>
                <w:rFonts w:ascii="Arial" w:hAnsi="Arial"/>
                <w:b/>
                <w:color w:val="1A1A1A"/>
                <w:sz w:val="20"/>
              </w:rPr>
              <w:t>国际标准</w:t>
            </w:r>
          </w:p>
        </w:tc>
        <w:tc>
          <w:tcPr>
            <w:tcW w:type="dxa" w:w="3120"/>
          </w:tcPr>
          <w:p>
            <w:r>
              <w:rPr>
                <w:rFonts w:ascii="Arial" w:hAnsi="Arial"/>
                <w:color w:val="1A1A1A"/>
                <w:sz w:val="20"/>
              </w:rPr>
              <w:t>牵头国际核保险共同体体系多项规则与标准制定，将国内实践升级为国际标准</w:t>
            </w:r>
          </w:p>
        </w:tc>
        <w:tc>
          <w:tcPr>
            <w:tcW w:type="dxa" w:w="3120"/>
          </w:tcPr>
          <w:p>
            <w:r>
              <w:rPr>
                <w:rFonts w:ascii="Arial" w:hAnsi="Arial"/>
                <w:color w:val="1A1A1A"/>
                <w:sz w:val="20"/>
              </w:rPr>
              <w:t>2026年4月公开报道</w:t>
            </w:r>
          </w:p>
        </w:tc>
      </w:tr>
      <w:tr>
        <w:tc>
          <w:tcPr>
            <w:tcW w:type="dxa" w:w="3120"/>
            <w:shd w:fill="F8F9FA"/>
          </w:tcPr>
          <w:p>
            <w:r>
              <w:rPr>
                <w:rFonts w:ascii="Arial" w:hAnsi="Arial"/>
                <w:b/>
                <w:color w:val="1A1A1A"/>
                <w:sz w:val="20"/>
              </w:rPr>
              <w:t>经营目标</w:t>
            </w:r>
          </w:p>
        </w:tc>
        <w:tc>
          <w:tcPr>
            <w:tcW w:type="dxa" w:w="3120"/>
            <w:shd w:fill="F8F9FA"/>
          </w:tcPr>
          <w:p>
            <w:r>
              <w:rPr>
                <w:rFonts w:ascii="Arial" w:hAnsi="Arial"/>
                <w:color w:val="1A1A1A"/>
                <w:sz w:val="20"/>
              </w:rPr>
              <w:t>"五个坚持"（坚持正确的经营观、业绩观、风险观）+ "五个突破"（业务、国际化、数字化等）</w:t>
            </w:r>
          </w:p>
        </w:tc>
        <w:tc>
          <w:tcPr>
            <w:tcW w:type="dxa" w:w="3120"/>
            <w:shd w:fill="F8F9FA"/>
          </w:tcPr>
          <w:p>
            <w:r>
              <w:rPr>
                <w:rFonts w:ascii="Arial" w:hAnsi="Arial"/>
                <w:color w:val="1A1A1A"/>
                <w:sz w:val="20"/>
              </w:rPr>
              <w:t>2026年工作会议</w:t>
            </w:r>
          </w:p>
        </w:tc>
      </w:tr>
      <w:tr>
        <w:tc>
          <w:tcPr>
            <w:tcW w:type="dxa" w:w="3120"/>
          </w:tcPr>
          <w:p>
            <w:r>
              <w:rPr>
                <w:rFonts w:ascii="Arial" w:hAnsi="Arial"/>
                <w:b/>
                <w:color w:val="1A1A1A"/>
                <w:sz w:val="20"/>
              </w:rPr>
              <w:t>团队建设</w:t>
            </w:r>
          </w:p>
        </w:tc>
        <w:tc>
          <w:tcPr>
            <w:tcW w:type="dxa" w:w="3120"/>
          </w:tcPr>
          <w:p>
            <w:r>
              <w:rPr>
                <w:rFonts w:ascii="Arial" w:hAnsi="Arial"/>
                <w:color w:val="1A1A1A"/>
                <w:sz w:val="20"/>
              </w:rPr>
              <w:t>弘扬"简单、高效、务实、合规"工作作风，"追求专业尽责卓越"工作目标</w:t>
            </w:r>
          </w:p>
        </w:tc>
        <w:tc>
          <w:tcPr>
            <w:tcW w:type="dxa" w:w="3120"/>
          </w:tcPr>
          <w:p>
            <w:r>
              <w:rPr>
                <w:rFonts w:ascii="Arial" w:hAnsi="Arial"/>
                <w:color w:val="1A1A1A"/>
                <w:sz w:val="20"/>
              </w:rPr>
              <w:t>2026年工作会议</w:t>
            </w:r>
          </w:p>
        </w:tc>
      </w:tr>
    </w:tbl>
    <w:p/>
    <w:p>
      <w:pPr>
        <w:spacing w:before="60" w:after="60"/>
        <w:jc w:val="left"/>
      </w:pPr>
      <w:r>
        <w:rPr>
          <w:rFonts w:ascii="Arial" w:hAnsi="Arial"/>
          <w:b/>
          <w:color w:val="1A1A1A"/>
          <w:sz w:val="22"/>
        </w:rPr>
        <w:t>市场偏好分析：</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偏好险种</w:t>
      </w:r>
      <w:r>
        <w:rPr>
          <w:rFonts w:ascii="Arial" w:hAnsi="Arial"/>
          <w:color w:val="1A1A1A"/>
          <w:sz w:val="22"/>
        </w:rPr>
        <w:t>：核保险（全球领先）、一带一路特殊风险、基础设施、政治暴力险</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偏好区域</w:t>
      </w:r>
      <w:r>
        <w:rPr>
          <w:rFonts w:ascii="Arial" w:hAnsi="Arial"/>
          <w:color w:val="1A1A1A"/>
          <w:sz w:val="22"/>
        </w:rPr>
        <w:t>：海外中资项目、东南亚、非洲、拉美</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合作对象</w:t>
      </w:r>
      <w:r>
        <w:rPr>
          <w:rFonts w:ascii="Arial" w:hAnsi="Arial"/>
          <w:color w:val="1A1A1A"/>
          <w:sz w:val="22"/>
        </w:rPr>
        <w:t>：国内大型直保公司、政策性保险机构、国际再保险共同体</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谨慎领域</w:t>
      </w:r>
      <w:r>
        <w:rPr>
          <w:rFonts w:ascii="Arial" w:hAnsi="Arial"/>
          <w:color w:val="1A1A1A"/>
          <w:sz w:val="22"/>
        </w:rPr>
        <w:t>：车险（费率竞争激烈）、信用保证险（风险暴露大）</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转型中</w:t>
      </w:r>
      <w:r>
        <w:rPr>
          <w:rFonts w:ascii="Arial" w:hAnsi="Arial"/>
          <w:color w:val="1A1A1A"/>
          <w:sz w:val="22"/>
        </w:rPr>
        <w:t>：从传统再保险向"保险+科技+服务"综合风险解决方案转型</w:t>
      </w:r>
    </w:p>
    <w:p>
      <w:pPr>
        <w:pBdr>
          <w:left w:val="single" w:sz="18" w:space="8" w:color="2C3E50"/>
        </w:pBdr>
        <w:spacing w:before="120" w:after="120"/>
        <w:ind w:left="567"/>
        <w:shd w:fill="F5F5F5" w:val="clear"/>
      </w:pPr>
      <w:r>
        <w:rPr>
          <w:rFonts w:ascii="Arial" w:hAnsi="Arial"/>
          <w:b/>
          <w:color w:val="1A1A1A"/>
          <w:sz w:val="22"/>
        </w:rPr>
        <w:t>数据来源：</w:t>
      </w:r>
      <w:r>
        <w:rPr>
          <w:rFonts w:ascii="Arial" w:hAnsi="Arial"/>
          <w:color w:val="1A1A1A"/>
          <w:sz w:val="22"/>
        </w:rPr>
        <w:t xml:space="preserve"> 中再集团官网（www.chinare.com.cn）公开信息：2025年业绩发布会、2026年党建和经营管理工作会议、中国"一带一路"再保险共同体第14次成员大会</w:t>
      </w:r>
    </w:p>
    <w:p>
      <w:pPr>
        <w:spacing w:before="120" w:after="120"/>
      </w:pPr>
      <w:r>
        <w:rPr>
          <w:color w:val="7F8C8D"/>
          <w:sz w:val="16"/>
        </w:rPr>
        <w:t>━━━━━━━━━━━━━━━━━━━━━━━━━━━━━━━━━━━━━━━━━━━━━━━━━━━━━━━━━━━━</w:t>
      </w:r>
    </w:p>
    <w:p>
      <w:pPr>
        <w:spacing w:before="240" w:after="120"/>
      </w:pPr>
      <w:r>
        <w:rPr>
          <w:rFonts w:ascii="Arial" w:hAnsi="Arial" w:eastAsia="Arial"/>
          <w:b/>
          <w:color w:val="7F8C8D"/>
          <w:sz w:val="30"/>
        </w:rPr>
        <w:t>2.2 太平再保险</w:t>
      </w:r>
    </w:p>
    <w:p>
      <w:pPr>
        <w:spacing w:before="60" w:after="60"/>
        <w:jc w:val="left"/>
      </w:pPr>
      <w:r>
        <w:rPr>
          <w:rFonts w:ascii="Arial" w:hAnsi="Arial"/>
          <w:color w:val="1A1A1A"/>
          <w:sz w:val="22"/>
        </w:rPr>
        <w:t xml:space="preserve">📊 </w:t>
      </w:r>
      <w:r>
        <w:rPr>
          <w:rFonts w:ascii="Arial" w:hAnsi="Arial"/>
          <w:b/>
          <w:color w:val="1A1A1A"/>
          <w:sz w:val="22"/>
        </w:rPr>
        <w:t>核心数据（估算）</w:t>
      </w:r>
    </w:p>
    <w:p>
      <w:pPr>
        <w:spacing w:before="40" w:after="40"/>
        <w:ind w:left="567" w:hanging="283"/>
      </w:pPr>
      <w:r>
        <w:rPr>
          <w:rFonts w:ascii="Arial" w:hAnsi="Arial"/>
          <w:b/>
          <w:color w:val="2C3E50"/>
          <w:sz w:val="22"/>
        </w:rPr>
        <w:t xml:space="preserve">• </w:t>
      </w:r>
      <w:r>
        <w:rPr>
          <w:rFonts w:ascii="Arial" w:hAnsi="Arial"/>
          <w:color w:val="1A1A1A"/>
          <w:sz w:val="22"/>
        </w:rPr>
        <w:t>总部：香港（太平再保险有限公司），北京（太平再保险中国）</w:t>
      </w:r>
    </w:p>
    <w:p>
      <w:pPr>
        <w:spacing w:before="40" w:after="40"/>
        <w:ind w:left="567" w:hanging="283"/>
      </w:pPr>
      <w:r>
        <w:rPr>
          <w:rFonts w:ascii="Arial" w:hAnsi="Arial"/>
          <w:b/>
          <w:color w:val="2C3E50"/>
          <w:sz w:val="22"/>
        </w:rPr>
        <w:t xml:space="preserve">• </w:t>
      </w:r>
      <w:r>
        <w:rPr>
          <w:rFonts w:ascii="Arial" w:hAnsi="Arial"/>
          <w:color w:val="1A1A1A"/>
          <w:sz w:val="22"/>
        </w:rPr>
        <w:t>2025年保费收入：约60-80亿港元</w:t>
      </w:r>
    </w:p>
    <w:p>
      <w:pPr>
        <w:spacing w:before="40" w:after="40"/>
        <w:ind w:left="567" w:hanging="283"/>
      </w:pPr>
      <w:r>
        <w:rPr>
          <w:rFonts w:ascii="Arial" w:hAnsi="Arial"/>
          <w:b/>
          <w:color w:val="2C3E50"/>
          <w:sz w:val="22"/>
        </w:rPr>
        <w:t xml:space="preserve">• </w:t>
      </w:r>
      <w:r>
        <w:rPr>
          <w:rFonts w:ascii="Arial" w:hAnsi="Arial"/>
          <w:color w:val="1A1A1A"/>
          <w:sz w:val="22"/>
        </w:rPr>
        <w:t>母公司：中国太平保险集团</w:t>
      </w:r>
    </w:p>
    <w:p>
      <w:pPr>
        <w:spacing w:before="40" w:after="40"/>
        <w:ind w:left="567" w:hanging="283"/>
      </w:pPr>
      <w:r>
        <w:rPr>
          <w:rFonts w:ascii="Arial" w:hAnsi="Arial"/>
          <w:b/>
          <w:color w:val="2C3E50"/>
          <w:sz w:val="22"/>
        </w:rPr>
        <w:t xml:space="preserve">• </w:t>
      </w:r>
      <w:r>
        <w:rPr>
          <w:rFonts w:ascii="Arial" w:hAnsi="Arial"/>
          <w:color w:val="1A1A1A"/>
          <w:sz w:val="22"/>
        </w:rPr>
        <w:t>国际网络：覆盖亚洲、欧洲、北美</w:t>
      </w:r>
    </w:p>
    <w:p>
      <w:pPr>
        <w:spacing w:before="60" w:after="60"/>
        <w:jc w:val="left"/>
      </w:pPr>
      <w:r>
        <w:rPr>
          <w:rFonts w:ascii="Arial" w:hAnsi="Arial"/>
          <w:color w:val="1A1A1A"/>
          <w:sz w:val="22"/>
        </w:rPr>
        <w:t xml:space="preserve">🏛️ </w:t>
      </w:r>
      <w:r>
        <w:rPr>
          <w:rFonts w:ascii="Arial" w:hAnsi="Arial"/>
          <w:b/>
          <w:color w:val="1A1A1A"/>
          <w:sz w:val="22"/>
        </w:rPr>
        <w:t>战略定位</w:t>
      </w:r>
    </w:p>
    <w:p>
      <w:pPr>
        <w:spacing w:before="60" w:after="60"/>
        <w:jc w:val="left"/>
      </w:pPr>
      <w:r>
        <w:rPr>
          <w:rFonts w:ascii="Arial" w:hAnsi="Arial"/>
          <w:color w:val="1A1A1A"/>
          <w:sz w:val="22"/>
        </w:rPr>
        <w:t xml:space="preserve">依托中国太平集团跨境经营优势，定位 </w:t>
      </w:r>
      <w:r>
        <w:rPr>
          <w:rFonts w:ascii="Arial" w:hAnsi="Arial"/>
          <w:b/>
          <w:color w:val="1A1A1A"/>
          <w:sz w:val="22"/>
        </w:rPr>
        <w:t>"立足港澳、辐射亚太"</w:t>
      </w:r>
      <w:r>
        <w:rPr>
          <w:rFonts w:ascii="Arial" w:hAnsi="Arial"/>
          <w:color w:val="1A1A1A"/>
          <w:sz w:val="22"/>
        </w:rPr>
        <w:t xml:space="preserve"> 的区域型再保险龙头。</w:t>
      </w:r>
    </w:p>
    <w:p>
      <w:pPr>
        <w:spacing w:before="60" w:after="60"/>
        <w:jc w:val="left"/>
      </w:pPr>
      <w:r>
        <w:rPr>
          <w:rFonts w:ascii="Arial" w:hAnsi="Arial"/>
          <w:color w:val="1A1A1A"/>
          <w:sz w:val="22"/>
        </w:rPr>
        <w:t xml:space="preserve">🎯 </w:t>
      </w:r>
      <w:r>
        <w:rPr>
          <w:rFonts w:ascii="Arial" w:hAnsi="Arial"/>
          <w:b/>
          <w:color w:val="1A1A1A"/>
          <w:sz w:val="2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2C3E50"/>
          </w:tcPr>
          <w:p>
            <w:pPr>
              <w:jc w:val="center"/>
            </w:pPr>
            <w:r>
              <w:rPr>
                <w:rFonts w:ascii="Arial" w:hAnsi="Arial"/>
                <w:b/>
                <w:color w:val="FFFFFF"/>
                <w:sz w:val="22"/>
              </w:rPr>
              <w:t>战略</w:t>
            </w:r>
          </w:p>
        </w:tc>
        <w:tc>
          <w:tcPr>
            <w:tcW w:type="dxa" w:w="3120"/>
            <w:shd w:fill="2C3E50"/>
          </w:tcPr>
          <w:p>
            <w:pPr>
              <w:jc w:val="center"/>
            </w:pPr>
            <w:r>
              <w:rPr>
                <w:rFonts w:ascii="Arial" w:hAnsi="Arial"/>
                <w:b/>
                <w:color w:val="FFFFFF"/>
                <w:sz w:val="22"/>
              </w:rPr>
              <w:t>方向</w:t>
            </w:r>
          </w:p>
        </w:tc>
        <w:tc>
          <w:tcPr>
            <w:tcW w:type="dxa" w:w="3120"/>
            <w:shd w:fill="2C3E50"/>
          </w:tcPr>
          <w:p>
            <w:pPr>
              <w:jc w:val="center"/>
            </w:pPr>
            <w:r>
              <w:rPr>
                <w:rFonts w:ascii="Arial" w:hAnsi="Arial"/>
                <w:b/>
                <w:color w:val="FFFFFF"/>
                <w:sz w:val="22"/>
              </w:rPr>
              <w:t>判断依据</w:t>
            </w:r>
          </w:p>
        </w:tc>
      </w:tr>
      <w:tr>
        <w:tc>
          <w:tcPr>
            <w:tcW w:type="dxa" w:w="3120"/>
          </w:tcPr>
          <w:p>
            <w:r>
              <w:rPr>
                <w:rFonts w:ascii="Arial" w:hAnsi="Arial"/>
                <w:b/>
                <w:color w:val="1A1A1A"/>
                <w:sz w:val="20"/>
              </w:rPr>
              <w:t>区域重点</w:t>
            </w:r>
          </w:p>
        </w:tc>
        <w:tc>
          <w:tcPr>
            <w:tcW w:type="dxa" w:w="3120"/>
          </w:tcPr>
          <w:p>
            <w:r>
              <w:rPr>
                <w:rFonts w:ascii="Arial" w:hAnsi="Arial"/>
                <w:color w:val="1A1A1A"/>
                <w:sz w:val="20"/>
              </w:rPr>
              <w:t>巩固港澳、深耕东南亚、拓展中东</w:t>
            </w:r>
          </w:p>
        </w:tc>
        <w:tc>
          <w:tcPr>
            <w:tcW w:type="dxa" w:w="3120"/>
          </w:tcPr>
          <w:p>
            <w:r>
              <w:rPr>
                <w:rFonts w:ascii="Arial" w:hAnsi="Arial"/>
                <w:color w:val="1A1A1A"/>
                <w:sz w:val="20"/>
              </w:rPr>
              <w:t>中国太平集团国际化战略</w:t>
            </w:r>
          </w:p>
        </w:tc>
      </w:tr>
      <w:tr>
        <w:tc>
          <w:tcPr>
            <w:tcW w:type="dxa" w:w="3120"/>
            <w:shd w:fill="F8F9FA"/>
          </w:tcPr>
          <w:p>
            <w:r>
              <w:rPr>
                <w:rFonts w:ascii="Arial" w:hAnsi="Arial"/>
                <w:b/>
                <w:color w:val="1A1A1A"/>
                <w:sz w:val="20"/>
              </w:rPr>
              <w:t>业务策略</w:t>
            </w:r>
          </w:p>
        </w:tc>
        <w:tc>
          <w:tcPr>
            <w:tcW w:type="dxa" w:w="3120"/>
            <w:shd w:fill="F8F9FA"/>
          </w:tcPr>
          <w:p>
            <w:r>
              <w:rPr>
                <w:rFonts w:ascii="Arial" w:hAnsi="Arial"/>
                <w:color w:val="1A1A1A"/>
                <w:sz w:val="20"/>
              </w:rPr>
              <w:t>财产险再保险为主，积极拓展寿险再保险</w:t>
            </w:r>
          </w:p>
        </w:tc>
        <w:tc>
          <w:tcPr>
            <w:tcW w:type="dxa" w:w="3120"/>
            <w:shd w:fill="F8F9FA"/>
          </w:tcPr>
          <w:p>
            <w:r>
              <w:rPr>
                <w:rFonts w:ascii="Arial" w:hAnsi="Arial"/>
                <w:color w:val="1A1A1A"/>
                <w:sz w:val="20"/>
              </w:rPr>
              <w:t>业务结构分析</w:t>
            </w:r>
          </w:p>
        </w:tc>
      </w:tr>
      <w:tr>
        <w:tc>
          <w:tcPr>
            <w:tcW w:type="dxa" w:w="3120"/>
          </w:tcPr>
          <w:p>
            <w:r>
              <w:rPr>
                <w:rFonts w:ascii="Arial" w:hAnsi="Arial"/>
                <w:b/>
                <w:color w:val="1A1A1A"/>
                <w:sz w:val="20"/>
              </w:rPr>
              <w:t>差异化</w:t>
            </w:r>
          </w:p>
        </w:tc>
        <w:tc>
          <w:tcPr>
            <w:tcW w:type="dxa" w:w="3120"/>
          </w:tcPr>
          <w:p>
            <w:r>
              <w:rPr>
                <w:rFonts w:ascii="Arial" w:hAnsi="Arial"/>
                <w:color w:val="1A1A1A"/>
                <w:sz w:val="20"/>
              </w:rPr>
              <w:t>大湾区跨境保险创新、海南自贸港特殊风险</w:t>
            </w:r>
          </w:p>
        </w:tc>
        <w:tc>
          <w:tcPr>
            <w:tcW w:type="dxa" w:w="3120"/>
          </w:tcPr>
          <w:p>
            <w:r>
              <w:rPr>
                <w:rFonts w:ascii="Arial" w:hAnsi="Arial"/>
                <w:color w:val="1A1A1A"/>
                <w:sz w:val="20"/>
              </w:rPr>
              <w:t>政策导向</w:t>
            </w:r>
          </w:p>
        </w:tc>
      </w:tr>
      <w:tr>
        <w:tc>
          <w:tcPr>
            <w:tcW w:type="dxa" w:w="3120"/>
            <w:shd w:fill="F8F9FA"/>
          </w:tcPr>
          <w:p>
            <w:r>
              <w:rPr>
                <w:rFonts w:ascii="Arial" w:hAnsi="Arial"/>
                <w:b/>
                <w:color w:val="1A1A1A"/>
                <w:sz w:val="20"/>
              </w:rPr>
              <w:t>资本策略</w:t>
            </w:r>
          </w:p>
        </w:tc>
        <w:tc>
          <w:tcPr>
            <w:tcW w:type="dxa" w:w="3120"/>
            <w:shd w:fill="F8F9FA"/>
          </w:tcPr>
          <w:p>
            <w:r>
              <w:rPr>
                <w:rFonts w:ascii="Arial" w:hAnsi="Arial"/>
                <w:color w:val="1A1A1A"/>
                <w:sz w:val="20"/>
              </w:rPr>
              <w:t>稳步扩大资本金，优化评级</w:t>
            </w:r>
          </w:p>
        </w:tc>
        <w:tc>
          <w:tcPr>
            <w:tcW w:type="dxa" w:w="3120"/>
            <w:shd w:fill="F8F9FA"/>
          </w:tcPr>
          <w:p>
            <w:r>
              <w:rPr>
                <w:rFonts w:ascii="Arial" w:hAnsi="Arial"/>
                <w:color w:val="1A1A1A"/>
                <w:sz w:val="20"/>
              </w:rPr>
              <w:t>参与上海再保险中心建设</w:t>
            </w:r>
          </w:p>
        </w:tc>
      </w:tr>
      <w:tr>
        <w:tc>
          <w:tcPr>
            <w:tcW w:type="dxa" w:w="3120"/>
          </w:tcPr>
          <w:p>
            <w:r>
              <w:rPr>
                <w:rFonts w:ascii="Arial" w:hAnsi="Arial"/>
                <w:b/>
                <w:color w:val="1A1A1A"/>
                <w:sz w:val="20"/>
              </w:rPr>
              <w:t>创新方向</w:t>
            </w:r>
          </w:p>
        </w:tc>
        <w:tc>
          <w:tcPr>
            <w:tcW w:type="dxa" w:w="3120"/>
          </w:tcPr>
          <w:p>
            <w:r>
              <w:rPr>
                <w:rFonts w:ascii="Arial" w:hAnsi="Arial"/>
                <w:color w:val="1A1A1A"/>
                <w:sz w:val="20"/>
              </w:rPr>
              <w:t>绿色保险再保险、科技保险再保险</w:t>
            </w:r>
          </w:p>
        </w:tc>
        <w:tc>
          <w:tcPr>
            <w:tcW w:type="dxa" w:w="3120"/>
          </w:tcPr>
          <w:p>
            <w:r>
              <w:rPr>
                <w:rFonts w:ascii="Arial" w:hAnsi="Arial"/>
                <w:color w:val="1A1A1A"/>
                <w:sz w:val="20"/>
              </w:rPr>
              <w:t>行业趋势</w:t>
            </w:r>
          </w:p>
        </w:tc>
      </w:tr>
    </w:tbl>
    <w:p/>
    <w:p>
      <w:pPr>
        <w:spacing w:before="60" w:after="60"/>
        <w:jc w:val="left"/>
      </w:pPr>
      <w:r>
        <w:rPr>
          <w:rFonts w:ascii="Arial" w:hAnsi="Arial"/>
          <w:b/>
          <w:color w:val="1A1A1A"/>
          <w:sz w:val="22"/>
        </w:rPr>
        <w:t>市场偏好分析：</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偏好险种</w:t>
      </w:r>
      <w:r>
        <w:rPr>
          <w:rFonts w:ascii="Arial" w:hAnsi="Arial"/>
          <w:color w:val="1A1A1A"/>
          <w:sz w:val="22"/>
        </w:rPr>
        <w:t>：财产险再保险（火险、水险、工程险）、寿险再保险</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偏好区域</w:t>
      </w:r>
      <w:r>
        <w:rPr>
          <w:rFonts w:ascii="Arial" w:hAnsi="Arial"/>
          <w:color w:val="1A1A1A"/>
          <w:sz w:val="22"/>
        </w:rPr>
        <w:t>：港澳、大湾区、东南亚、一带一路沿线</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合作模式</w:t>
      </w:r>
      <w:r>
        <w:rPr>
          <w:rFonts w:ascii="Arial" w:hAnsi="Arial"/>
          <w:color w:val="1A1A1A"/>
          <w:sz w:val="22"/>
        </w:rPr>
        <w:t>：以比例再保险和临时分保为主</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风控重点</w:t>
      </w:r>
      <w:r>
        <w:rPr>
          <w:rFonts w:ascii="Arial" w:hAnsi="Arial"/>
          <w:color w:val="1A1A1A"/>
          <w:sz w:val="22"/>
        </w:rPr>
        <w:t>：巨灾聚集风险、信用风险</w:t>
      </w:r>
    </w:p>
    <w:p>
      <w:pPr>
        <w:spacing w:before="120" w:after="120"/>
      </w:pPr>
      <w:r>
        <w:rPr>
          <w:color w:val="7F8C8D"/>
          <w:sz w:val="16"/>
        </w:rPr>
        <w:t>━━━━━━━━━━━━━━━━━━━━━━━━━━━━━━━━━━━━━━━━━━━━━━━━━━━━━━━━━━━━</w:t>
      </w:r>
    </w:p>
    <w:p>
      <w:pPr>
        <w:spacing w:before="240" w:after="120"/>
      </w:pPr>
      <w:r>
        <w:rPr>
          <w:rFonts w:ascii="Arial" w:hAnsi="Arial" w:eastAsia="Arial"/>
          <w:b/>
          <w:color w:val="7F8C8D"/>
          <w:sz w:val="30"/>
        </w:rPr>
        <w:t>2.3 人保再保险</w:t>
      </w:r>
    </w:p>
    <w:p>
      <w:pPr>
        <w:spacing w:before="60" w:after="60"/>
        <w:jc w:val="left"/>
      </w:pPr>
      <w:r>
        <w:rPr>
          <w:rFonts w:ascii="Arial" w:hAnsi="Arial"/>
          <w:color w:val="1A1A1A"/>
          <w:sz w:val="22"/>
        </w:rPr>
        <w:t xml:space="preserve">📊 </w:t>
      </w:r>
      <w:r>
        <w:rPr>
          <w:rFonts w:ascii="Arial" w:hAnsi="Arial"/>
          <w:b/>
          <w:color w:val="1A1A1A"/>
          <w:sz w:val="22"/>
        </w:rPr>
        <w:t>核心数据（估算）</w:t>
      </w:r>
    </w:p>
    <w:p>
      <w:pPr>
        <w:spacing w:before="40" w:after="40"/>
        <w:ind w:left="567" w:hanging="283"/>
      </w:pPr>
      <w:r>
        <w:rPr>
          <w:rFonts w:ascii="Arial" w:hAnsi="Arial"/>
          <w:b/>
          <w:color w:val="2C3E50"/>
          <w:sz w:val="22"/>
        </w:rPr>
        <w:t xml:space="preserve">• </w:t>
      </w:r>
      <w:r>
        <w:rPr>
          <w:rFonts w:ascii="Arial" w:hAnsi="Arial"/>
          <w:color w:val="1A1A1A"/>
          <w:sz w:val="22"/>
        </w:rPr>
        <w:t>成立时间：2017年</w:t>
      </w:r>
    </w:p>
    <w:p>
      <w:pPr>
        <w:spacing w:before="40" w:after="40"/>
        <w:ind w:left="567" w:hanging="283"/>
      </w:pPr>
      <w:r>
        <w:rPr>
          <w:rFonts w:ascii="Arial" w:hAnsi="Arial"/>
          <w:b/>
          <w:color w:val="2C3E50"/>
          <w:sz w:val="22"/>
        </w:rPr>
        <w:t xml:space="preserve">• </w:t>
      </w:r>
      <w:r>
        <w:rPr>
          <w:rFonts w:ascii="Arial" w:hAnsi="Arial"/>
          <w:color w:val="1A1A1A"/>
          <w:sz w:val="22"/>
        </w:rPr>
        <w:t>2025年保费收入：约40-60亿元</w:t>
      </w:r>
    </w:p>
    <w:p>
      <w:pPr>
        <w:spacing w:before="40" w:after="40"/>
        <w:ind w:left="567" w:hanging="283"/>
      </w:pPr>
      <w:r>
        <w:rPr>
          <w:rFonts w:ascii="Arial" w:hAnsi="Arial"/>
          <w:b/>
          <w:color w:val="2C3E50"/>
          <w:sz w:val="22"/>
        </w:rPr>
        <w:t xml:space="preserve">• </w:t>
      </w:r>
      <w:r>
        <w:rPr>
          <w:rFonts w:ascii="Arial" w:hAnsi="Arial"/>
          <w:color w:val="1A1A1A"/>
          <w:sz w:val="22"/>
        </w:rPr>
        <w:t>母公司：中国人保集团（PICC）</w:t>
      </w:r>
    </w:p>
    <w:p>
      <w:pPr>
        <w:spacing w:before="60" w:after="60"/>
        <w:jc w:val="left"/>
      </w:pPr>
      <w:r>
        <w:rPr>
          <w:rFonts w:ascii="Arial" w:hAnsi="Arial"/>
          <w:color w:val="1A1A1A"/>
          <w:sz w:val="22"/>
        </w:rPr>
        <w:t xml:space="preserve">🏛️ </w:t>
      </w:r>
      <w:r>
        <w:rPr>
          <w:rFonts w:ascii="Arial" w:hAnsi="Arial"/>
          <w:b/>
          <w:color w:val="1A1A1A"/>
          <w:sz w:val="22"/>
        </w:rPr>
        <w:t>战略定位</w:t>
      </w:r>
    </w:p>
    <w:p>
      <w:pPr>
        <w:spacing w:before="60" w:after="60"/>
        <w:jc w:val="left"/>
      </w:pPr>
      <w:r>
        <w:rPr>
          <w:rFonts w:ascii="Arial" w:hAnsi="Arial"/>
          <w:color w:val="1A1A1A"/>
          <w:sz w:val="22"/>
        </w:rPr>
        <w:t xml:space="preserve">依托中国人保集团中国最大财产保险公司（人保财险）的业务资源，定位 </w:t>
      </w:r>
      <w:r>
        <w:rPr>
          <w:rFonts w:ascii="Arial" w:hAnsi="Arial"/>
          <w:b/>
          <w:color w:val="1A1A1A"/>
          <w:sz w:val="22"/>
        </w:rPr>
        <w:t>"集团内部风险分流+外部市场化拓展"</w:t>
      </w:r>
      <w:r>
        <w:rPr>
          <w:rFonts w:ascii="Arial" w:hAnsi="Arial"/>
          <w:color w:val="1A1A1A"/>
          <w:sz w:val="22"/>
        </w:rPr>
        <w:t xml:space="preserve"> 双轮驱动。</w:t>
      </w:r>
    </w:p>
    <w:p>
      <w:pPr>
        <w:spacing w:before="60" w:after="60"/>
        <w:jc w:val="left"/>
      </w:pPr>
      <w:r>
        <w:rPr>
          <w:rFonts w:ascii="Arial" w:hAnsi="Arial"/>
          <w:color w:val="1A1A1A"/>
          <w:sz w:val="22"/>
        </w:rPr>
        <w:t xml:space="preserve">🎯 </w:t>
      </w:r>
      <w:r>
        <w:rPr>
          <w:rFonts w:ascii="Arial" w:hAnsi="Arial"/>
          <w:b/>
          <w:color w:val="1A1A1A"/>
          <w:sz w:val="22"/>
        </w:rPr>
        <w:t>未来-3年战略方向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2C3E50"/>
          </w:tcPr>
          <w:p>
            <w:pPr>
              <w:jc w:val="center"/>
            </w:pPr>
            <w:r>
              <w:rPr>
                <w:rFonts w:ascii="Arial" w:hAnsi="Arial"/>
                <w:b/>
                <w:color w:val="FFFFFF"/>
                <w:sz w:val="22"/>
              </w:rPr>
              <w:t>战略维度</w:t>
            </w:r>
          </w:p>
        </w:tc>
        <w:tc>
          <w:tcPr>
            <w:tcW w:type="dxa" w:w="3120"/>
            <w:shd w:fill="2C3E50"/>
          </w:tcPr>
          <w:p>
            <w:pPr>
              <w:jc w:val="center"/>
            </w:pPr>
            <w:r>
              <w:rPr>
                <w:rFonts w:ascii="Arial" w:hAnsi="Arial"/>
                <w:b/>
                <w:color w:val="FFFFFF"/>
                <w:sz w:val="22"/>
              </w:rPr>
              <w:t>方向</w:t>
            </w:r>
          </w:p>
        </w:tc>
        <w:tc>
          <w:tcPr>
            <w:tcW w:type="dxa" w:w="3120"/>
            <w:shd w:fill="2C3E50"/>
          </w:tcPr>
          <w:p>
            <w:pPr>
              <w:jc w:val="center"/>
            </w:pPr>
            <w:r>
              <w:rPr>
                <w:rFonts w:ascii="Arial" w:hAnsi="Arial"/>
                <w:b/>
                <w:color w:val="FFFFFF"/>
                <w:sz w:val="22"/>
              </w:rPr>
              <w:t>判断依</w:t>
            </w:r>
          </w:p>
        </w:tc>
      </w:tr>
      <w:tr>
        <w:tc>
          <w:tcPr>
            <w:tcW w:type="dxa" w:w="3120"/>
          </w:tcPr>
          <w:p>
            <w:r>
              <w:rPr>
                <w:rFonts w:ascii="Arial" w:hAnsi="Arial"/>
                <w:b/>
                <w:color w:val="1A1A1A"/>
                <w:sz w:val="20"/>
              </w:rPr>
              <w:t>内部协同</w:t>
            </w:r>
          </w:p>
        </w:tc>
        <w:tc>
          <w:tcPr>
            <w:tcW w:type="dxa" w:w="3120"/>
          </w:tcPr>
          <w:p>
            <w:r>
              <w:rPr>
                <w:rFonts w:ascii="Arial" w:hAnsi="Arial"/>
                <w:color w:val="1A1A1A"/>
                <w:sz w:val="20"/>
              </w:rPr>
              <w:t>深入承接人保财险、人保寿险分保需求，打通集团内部风险转移链条</w:t>
            </w:r>
          </w:p>
        </w:tc>
        <w:tc>
          <w:tcPr>
            <w:tcW w:type="dxa" w:w="3120"/>
          </w:tcPr>
          <w:p>
            <w:r>
              <w:rPr>
                <w:rFonts w:ascii="Arial" w:hAnsi="Arial"/>
                <w:color w:val="1A1A1A"/>
                <w:sz w:val="20"/>
              </w:rPr>
              <w:t>集团协同战略</w:t>
            </w:r>
          </w:p>
        </w:tc>
      </w:tr>
      <w:tr>
        <w:tc>
          <w:tcPr>
            <w:tcW w:type="dxa" w:w="3120"/>
            <w:shd w:fill="F8F9FA"/>
          </w:tcPr>
          <w:p>
            <w:r>
              <w:rPr>
                <w:rFonts w:ascii="Arial" w:hAnsi="Arial"/>
                <w:b/>
                <w:color w:val="1A1A1A"/>
                <w:sz w:val="20"/>
              </w:rPr>
              <w:t>外部拓展</w:t>
            </w:r>
          </w:p>
        </w:tc>
        <w:tc>
          <w:tcPr>
            <w:tcW w:type="dxa" w:w="3120"/>
            <w:shd w:fill="F8F9FA"/>
          </w:tcPr>
          <w:p>
            <w:r>
              <w:rPr>
                <w:rFonts w:ascii="Arial" w:hAnsi="Arial"/>
                <w:color w:val="1A1A1A"/>
                <w:sz w:val="20"/>
              </w:rPr>
              <w:t>逐步扩大非关联业务占比，提升市场化程度</w:t>
            </w:r>
          </w:p>
        </w:tc>
        <w:tc>
          <w:tcPr>
            <w:tcW w:type="dxa" w:w="3120"/>
            <w:shd w:fill="F8F9FA"/>
          </w:tcPr>
          <w:p>
            <w:r>
              <w:rPr>
                <w:rFonts w:ascii="Arial" w:hAnsi="Arial"/>
                <w:color w:val="1A1A1A"/>
                <w:sz w:val="20"/>
              </w:rPr>
              <w:t>独立经营要求</w:t>
            </w:r>
          </w:p>
        </w:tc>
      </w:tr>
      <w:tr>
        <w:tc>
          <w:tcPr>
            <w:tcW w:type="dxa" w:w="3120"/>
          </w:tcPr>
          <w:p>
            <w:r>
              <w:rPr>
                <w:rFonts w:ascii="Arial" w:hAnsi="Arial"/>
                <w:b/>
                <w:color w:val="1A1A1A"/>
                <w:sz w:val="20"/>
              </w:rPr>
              <w:t>创新业务</w:t>
            </w:r>
          </w:p>
        </w:tc>
        <w:tc>
          <w:tcPr>
            <w:tcW w:type="dxa" w:w="3120"/>
          </w:tcPr>
          <w:p>
            <w:r>
              <w:rPr>
                <w:rFonts w:ascii="Arial" w:hAnsi="Arial"/>
                <w:color w:val="1A1A1A"/>
                <w:sz w:val="20"/>
              </w:rPr>
              <w:t>科技保险、网络安全保险、新能源车险等新兴领域的再保险方案</w:t>
            </w:r>
          </w:p>
        </w:tc>
        <w:tc>
          <w:tcPr>
            <w:tcW w:type="dxa" w:w="3120"/>
          </w:tcPr>
          <w:p>
            <w:r>
              <w:rPr>
                <w:rFonts w:ascii="Arial" w:hAnsi="Arial"/>
                <w:color w:val="1A1A1A"/>
                <w:sz w:val="20"/>
              </w:rPr>
              <w:t>行业创新方向</w:t>
            </w:r>
          </w:p>
        </w:tc>
      </w:tr>
      <w:tr>
        <w:tc>
          <w:tcPr>
            <w:tcW w:type="dxa" w:w="3120"/>
            <w:shd w:fill="F8F9FA"/>
          </w:tcPr>
          <w:p>
            <w:r>
              <w:rPr>
                <w:rFonts w:ascii="Arial" w:hAnsi="Arial"/>
                <w:b/>
                <w:color w:val="1A1A1A"/>
                <w:sz w:val="20"/>
              </w:rPr>
              <w:t>区域布局</w:t>
            </w:r>
          </w:p>
        </w:tc>
        <w:tc>
          <w:tcPr>
            <w:tcW w:type="dxa" w:w="3120"/>
            <w:shd w:fill="F8F9FA"/>
          </w:tcPr>
          <w:p>
            <w:r>
              <w:rPr>
                <w:rFonts w:ascii="Arial" w:hAnsi="Arial"/>
                <w:color w:val="1A1A1A"/>
                <w:sz w:val="20"/>
              </w:rPr>
              <w:t>以境内为主适度参与国际分入业务</w:t>
            </w:r>
          </w:p>
        </w:tc>
        <w:tc>
          <w:tcPr>
            <w:tcW w:type="dxa" w:w="3120"/>
            <w:shd w:fill="F8F9FA"/>
          </w:tcPr>
          <w:p>
            <w:r>
              <w:rPr>
                <w:rFonts w:ascii="Arial" w:hAnsi="Arial"/>
                <w:color w:val="1A1A1A"/>
                <w:sz w:val="20"/>
              </w:rPr>
              <w:t>发展阶段</w:t>
            </w:r>
          </w:p>
        </w:tc>
      </w:tr>
    </w:tbl>
    <w:p/>
    <w:p>
      <w:pPr>
        <w:spacing w:before="60" w:after="60"/>
        <w:jc w:val="left"/>
      </w:pPr>
      <w:r>
        <w:rPr>
          <w:rFonts w:ascii="Arial" w:hAnsi="Arial"/>
          <w:b/>
          <w:color w:val="1A1A1A"/>
          <w:sz w:val="22"/>
        </w:rPr>
        <w:t>偏好分析：</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偏好险种</w:t>
      </w:r>
      <w:r>
        <w:rPr>
          <w:rFonts w:ascii="Arial" w:hAnsi="Arial"/>
          <w:color w:val="1A1A1A"/>
          <w:sz w:val="22"/>
        </w:rPr>
        <w:t>财产险（车险、企财险、责任险）、短期意外健康险</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重点发展</w:t>
      </w:r>
      <w:r>
        <w:rPr>
          <w:rFonts w:ascii="Arial" w:hAnsi="Arial"/>
          <w:color w:val="1A1A1A"/>
          <w:sz w:val="22"/>
        </w:rPr>
        <w:t>：政策性农业保险再保险、巨灾风险再保险</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核心客户</w:t>
      </w:r>
      <w:r>
        <w:rPr>
          <w:rFonts w:ascii="Arial" w:hAnsi="Arial"/>
          <w:color w:val="1A1A1A"/>
          <w:sz w:val="22"/>
        </w:rPr>
        <w:t>：人保集团内部 + 中小型直保公司</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注意</w:t>
      </w:r>
      <w:r>
        <w:rPr>
          <w:rFonts w:ascii="Arial" w:hAnsi="Arial"/>
          <w:color w:val="1A1A1A"/>
          <w:sz w:val="22"/>
        </w:rPr>
        <w:t>：成立时间较短，国际评级和历史经验仍在积累中</w:t>
      </w:r>
    </w:p>
    <w:p>
      <w:pPr>
        <w:spacing w:before="120" w:after="120"/>
      </w:pPr>
      <w:r>
        <w:rPr>
          <w:color w:val="7F8C8D"/>
          <w:sz w:val="16"/>
        </w:rPr>
        <w:t>━━━━━━━━━━━━━━━━━━━━━━━━━━━━━━━━━━━━━━━━━━━━━━━━━━━━━━━━━━━━</w:t>
      </w:r>
    </w:p>
    <w:p>
      <w:pPr>
        <w:spacing w:before="240" w:after="120"/>
      </w:pPr>
      <w:r>
        <w:rPr>
          <w:rFonts w:ascii="Arial" w:hAnsi="Arial" w:eastAsia="Arial"/>
          <w:b/>
          <w:color w:val="7F8C8D"/>
          <w:sz w:val="30"/>
        </w:rPr>
        <w:t>2.4 慕尼黑再保险（中国）</w:t>
      </w:r>
    </w:p>
    <w:p>
      <w:pPr>
        <w:spacing w:before="60" w:after="60"/>
        <w:jc w:val="left"/>
      </w:pPr>
      <w:r>
        <w:rPr>
          <w:rFonts w:ascii="Arial" w:hAnsi="Arial"/>
          <w:color w:val="1A1A1A"/>
          <w:sz w:val="22"/>
        </w:rPr>
        <w:t xml:space="preserve">📊 </w:t>
      </w:r>
      <w:r>
        <w:rPr>
          <w:rFonts w:ascii="Arial" w:hAnsi="Arial"/>
          <w:b/>
          <w:color w:val="1A1A1A"/>
          <w:sz w:val="22"/>
        </w:rPr>
        <w:t>数据</w:t>
      </w:r>
    </w:p>
    <w:p>
      <w:pPr>
        <w:spacing w:before="40" w:after="40"/>
        <w:ind w:left="567" w:hanging="283"/>
      </w:pPr>
      <w:r>
        <w:rPr>
          <w:rFonts w:ascii="Arial" w:hAnsi="Arial"/>
          <w:b/>
          <w:color w:val="2C3E50"/>
          <w:sz w:val="22"/>
        </w:rPr>
        <w:t xml:space="preserve">• </w:t>
      </w:r>
      <w:r>
        <w:rPr>
          <w:rFonts w:ascii="Arial" w:hAnsi="Arial"/>
          <w:color w:val="1A1A1A"/>
          <w:sz w:val="22"/>
        </w:rPr>
        <w:t>总部：北京（慕尼黑再保险公司北京分公司）</w:t>
      </w:r>
    </w:p>
    <w:p>
      <w:pPr>
        <w:spacing w:before="40" w:after="40"/>
        <w:ind w:left="567" w:hanging="283"/>
      </w:pPr>
      <w:r>
        <w:rPr>
          <w:rFonts w:ascii="Arial" w:hAnsi="Arial"/>
          <w:b/>
          <w:color w:val="2C3E50"/>
          <w:sz w:val="22"/>
        </w:rPr>
        <w:t xml:space="preserve">• </w:t>
      </w:r>
      <w:r>
        <w:rPr>
          <w:rFonts w:ascii="Arial" w:hAnsi="Arial"/>
          <w:color w:val="1A1A1A"/>
          <w:sz w:val="22"/>
        </w:rPr>
        <w:t>母公司：慕尼黑再保险（全球最大再保险公司之一，2024年保费约600亿欧元）</w:t>
      </w:r>
    </w:p>
    <w:p>
      <w:pPr>
        <w:spacing w:before="60" w:after="60"/>
        <w:jc w:val="left"/>
      </w:pPr>
      <w:r>
        <w:rPr>
          <w:rFonts w:ascii="Arial" w:hAnsi="Arial"/>
          <w:color w:val="1A1A1A"/>
          <w:sz w:val="22"/>
        </w:rPr>
        <w:t xml:space="preserve">🏛️ </w:t>
      </w:r>
      <w:r>
        <w:rPr>
          <w:rFonts w:ascii="Arial" w:hAnsi="Arial"/>
          <w:b/>
          <w:color w:val="1A1A1A"/>
          <w:sz w:val="22"/>
        </w:rPr>
        <w:t>战略定位</w:t>
      </w:r>
    </w:p>
    <w:p>
      <w:pPr>
        <w:spacing w:before="60" w:after="60"/>
        <w:jc w:val="left"/>
      </w:pPr>
      <w:r>
        <w:rPr>
          <w:rFonts w:ascii="Arial" w:hAnsi="Arial"/>
          <w:color w:val="1A1A1A"/>
          <w:sz w:val="22"/>
        </w:rPr>
        <w:t>"植根中国，全球网络"——利用母公司的全球技术、数据和风控能力，为国内市场提供高端再保险解决方案。</w:t>
      </w:r>
    </w:p>
    <w:p>
      <w:pPr>
        <w:spacing w:before="60" w:after="60"/>
        <w:jc w:val="left"/>
      </w:pPr>
      <w:r>
        <w:rPr>
          <w:rFonts w:ascii="Arial" w:hAnsi="Arial"/>
          <w:color w:val="1A1A1A"/>
          <w:sz w:val="22"/>
        </w:rPr>
        <w:t xml:space="preserve">🎯 </w:t>
      </w:r>
      <w:r>
        <w:rPr>
          <w:rFonts w:ascii="Arial" w:hAnsi="Arial"/>
          <w:b/>
          <w:color w:val="1A1A1A"/>
          <w:sz w:val="2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fill="2C3E50"/>
          </w:tcPr>
          <w:p>
            <w:pPr>
              <w:jc w:val="center"/>
            </w:pPr>
            <w:r>
              <w:rPr>
                <w:rFonts w:ascii="Arial" w:hAnsi="Arial"/>
                <w:b/>
                <w:color w:val="FFFFFF"/>
                <w:sz w:val="22"/>
              </w:rPr>
              <w:t>战略维度</w:t>
            </w:r>
          </w:p>
        </w:tc>
        <w:tc>
          <w:tcPr>
            <w:tcW w:type="dxa" w:w="4680"/>
            <w:shd w:fill="2C3E50"/>
          </w:tcPr>
          <w:p>
            <w:pPr>
              <w:jc w:val="center"/>
            </w:pPr>
            <w:r>
              <w:rPr>
                <w:rFonts w:ascii="Arial" w:hAnsi="Arial"/>
                <w:b/>
                <w:color w:val="FFFFFF"/>
                <w:sz w:val="22"/>
              </w:rPr>
              <w:t>方向</w:t>
            </w:r>
          </w:p>
        </w:tc>
      </w:tr>
      <w:tr>
        <w:tc>
          <w:tcPr>
            <w:tcW w:type="dxa" w:w="4680"/>
          </w:tcPr>
          <w:p>
            <w:r>
              <w:rPr>
                <w:rFonts w:ascii="Arial" w:hAnsi="Arial"/>
                <w:b/>
                <w:color w:val="1A1A1A"/>
                <w:sz w:val="20"/>
              </w:rPr>
              <w:t>技术输出</w:t>
            </w:r>
          </w:p>
        </w:tc>
        <w:tc>
          <w:tcPr>
            <w:tcW w:type="dxa" w:w="4680"/>
          </w:tcPr>
          <w:p>
            <w:r>
              <w:rPr>
                <w:rFonts w:ascii="Arial" w:hAnsi="Arial"/>
                <w:color w:val="1A1A1A"/>
                <w:sz w:val="20"/>
              </w:rPr>
              <w:t>将慕再全球领先的承保技术、定价模型、风险管理工具引入中国市场</w:t>
            </w:r>
          </w:p>
        </w:tc>
      </w:tr>
      <w:tr>
        <w:tc>
          <w:tcPr>
            <w:tcW w:type="dxa" w:w="4680"/>
            <w:shd w:fill="F8F9FA"/>
          </w:tcPr>
          <w:p>
            <w:r>
              <w:rPr>
                <w:rFonts w:ascii="Arial" w:hAnsi="Arial"/>
                <w:b/>
                <w:color w:val="1A1A1A"/>
                <w:sz w:val="20"/>
              </w:rPr>
              <w:t>数字化</w:t>
            </w:r>
          </w:p>
        </w:tc>
        <w:tc>
          <w:tcPr>
            <w:tcW w:type="dxa" w:w="4680"/>
            <w:shd w:fill="F8F9FA"/>
          </w:tcPr>
          <w:p>
            <w:r>
              <w:rPr>
                <w:rFonts w:ascii="Arial" w:hAnsi="Arial"/>
                <w:color w:val="1A1A1A"/>
                <w:sz w:val="20"/>
              </w:rPr>
              <w:t>推进大数据、在承保和理赔中的应用，如卫星遥感定损、智能风控</w:t>
            </w:r>
          </w:p>
        </w:tc>
      </w:tr>
      <w:tr>
        <w:tc>
          <w:tcPr>
            <w:tcW w:type="dxa" w:w="4680"/>
          </w:tcPr>
          <w:p>
            <w:r>
              <w:rPr>
                <w:rFonts w:ascii="Arial" w:hAnsi="Arial"/>
                <w:b/>
                <w:color w:val="1A1A1A"/>
                <w:sz w:val="20"/>
              </w:rPr>
              <w:t>绿色保险</w:t>
            </w:r>
          </w:p>
        </w:tc>
        <w:tc>
          <w:tcPr>
            <w:tcW w:type="dxa" w:w="4680"/>
          </w:tcPr>
          <w:p>
            <w:r>
              <w:rPr>
                <w:rFonts w:ascii="Arial" w:hAnsi="Arial"/>
                <w:color w:val="1A1A1A"/>
                <w:sz w:val="20"/>
              </w:rPr>
              <w:t>发展气候变化风险管理和绿色转型保险解决方案</w:t>
            </w:r>
          </w:p>
        </w:tc>
      </w:tr>
      <w:tr>
        <w:tc>
          <w:tcPr>
            <w:tcW w:type="dxa" w:w="4680"/>
            <w:shd w:fill="F8F9FA"/>
          </w:tcPr>
          <w:p>
            <w:r>
              <w:rPr>
                <w:rFonts w:ascii="Arial" w:hAnsi="Arial"/>
                <w:b/>
                <w:color w:val="1A1A1A"/>
                <w:sz w:val="20"/>
              </w:rPr>
              <w:t>健康险</w:t>
            </w:r>
          </w:p>
        </w:tc>
        <w:tc>
          <w:tcPr>
            <w:tcW w:type="dxa" w:w="4680"/>
            <w:shd w:fill="F8F9FA"/>
          </w:tcPr>
          <w:p>
            <w:r>
              <w:rPr>
                <w:rFonts w:ascii="Arial" w:hAnsi="Arial"/>
                <w:color w:val="1A1A1A"/>
                <w:sz w:val="20"/>
              </w:rPr>
              <w:t>利用全球健康险经验，支持国内健康险和长期护理险发展</w:t>
            </w:r>
          </w:p>
        </w:tc>
      </w:tr>
      <w:tr>
        <w:tc>
          <w:tcPr>
            <w:tcW w:type="dxa" w:w="4680"/>
          </w:tcPr>
          <w:p>
            <w:r>
              <w:rPr>
                <w:rFonts w:ascii="Arial" w:hAnsi="Arial"/>
                <w:b/>
                <w:color w:val="1A1A1A"/>
                <w:sz w:val="20"/>
              </w:rPr>
              <w:t>资本市场</w:t>
            </w:r>
          </w:p>
        </w:tc>
        <w:tc>
          <w:tcPr>
            <w:tcW w:type="dxa" w:w="4680"/>
          </w:tcPr>
          <w:p>
            <w:r>
              <w:rPr>
                <w:rFonts w:ascii="Arial" w:hAnsi="Arial"/>
                <w:color w:val="1A1A1A"/>
                <w:sz w:val="20"/>
              </w:rPr>
              <w:t>发挥ILS（保险连接证券）经验，支持国内巨灾债券市场发展</w:t>
            </w:r>
          </w:p>
        </w:tc>
      </w:tr>
    </w:tbl>
    <w:p/>
    <w:p>
      <w:pPr>
        <w:spacing w:before="60" w:after="60"/>
        <w:jc w:val="left"/>
      </w:pPr>
      <w:r>
        <w:rPr>
          <w:rFonts w:ascii="Arial" w:hAnsi="Arial"/>
          <w:b/>
          <w:color w:val="1A1A1A"/>
          <w:sz w:val="22"/>
        </w:rPr>
        <w:t>市场偏好分析：</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偏好险种</w:t>
      </w:r>
      <w:r>
        <w:rPr>
          <w:rFonts w:ascii="Arial" w:hAnsi="Arial"/>
          <w:color w:val="1A1A1A"/>
          <w:sz w:val="22"/>
        </w:rPr>
        <w:t>：财产险巨灾（地震、台风、洪水）、航空险、能源险、责任险、健康险再保险</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核心技术优势</w:t>
      </w:r>
      <w:r>
        <w:rPr>
          <w:rFonts w:ascii="Arial" w:hAnsi="Arial"/>
          <w:color w:val="1A1A1A"/>
          <w:sz w:val="22"/>
        </w:rPr>
        <w:t>：巨灾模型（NatCatSERVICE）、风险管理咨询、精算服务</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合作模式</w:t>
      </w:r>
      <w:r>
        <w:rPr>
          <w:rFonts w:ascii="Arial" w:hAnsi="Arial"/>
          <w:color w:val="1A1A1A"/>
          <w:sz w:val="22"/>
        </w:rPr>
        <w:t>：非比例再保险为主，提供定制化再保方案</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增长方向</w:t>
      </w:r>
      <w:r>
        <w:rPr>
          <w:rFonts w:ascii="Arial" w:hAnsi="Arial"/>
          <w:color w:val="1A1A1A"/>
          <w:sz w:val="22"/>
        </w:rPr>
        <w:t>：绿色保险、科技保险、网络安全保险</w:t>
      </w:r>
    </w:p>
    <w:p>
      <w:pPr>
        <w:spacing w:before="120" w:after="120"/>
      </w:pPr>
      <w:r>
        <w:rPr>
          <w:color w:val="7F8C8D"/>
          <w:sz w:val="16"/>
        </w:rPr>
        <w:t>━━━━━━━━━━━━━━━━━━━━━━━━━━━━━━━━━━━━━━━━━━━━━━━━━━━━━━━━━━━━</w:t>
      </w:r>
    </w:p>
    <w:p>
      <w:pPr>
        <w:spacing w:before="240" w:after="120"/>
      </w:pPr>
      <w:r>
        <w:rPr>
          <w:rFonts w:ascii="Arial" w:hAnsi="Arial" w:eastAsia="Arial"/>
          <w:b/>
          <w:color w:val="7F8C8D"/>
          <w:sz w:val="30"/>
        </w:rPr>
        <w:t>2.5 瑞士再保险（中国）</w:t>
      </w:r>
    </w:p>
    <w:p>
      <w:pPr>
        <w:spacing w:before="60" w:after="60"/>
        <w:jc w:val="left"/>
      </w:pPr>
      <w:r>
        <w:rPr>
          <w:rFonts w:ascii="Arial" w:hAnsi="Arial"/>
          <w:color w:val="1A1A1A"/>
          <w:sz w:val="22"/>
        </w:rPr>
        <w:t xml:space="preserve">📊 </w:t>
      </w:r>
      <w:r>
        <w:rPr>
          <w:rFonts w:ascii="Arial" w:hAnsi="Arial"/>
          <w:b/>
          <w:color w:val="1A1A1A"/>
          <w:sz w:val="22"/>
        </w:rPr>
        <w:t>核心数据</w:t>
      </w:r>
    </w:p>
    <w:p>
      <w:pPr>
        <w:spacing w:before="40" w:after="40"/>
        <w:ind w:left="567" w:hanging="283"/>
      </w:pPr>
      <w:r>
        <w:rPr>
          <w:rFonts w:ascii="Arial" w:hAnsi="Arial"/>
          <w:b/>
          <w:color w:val="2C3E50"/>
          <w:sz w:val="22"/>
        </w:rPr>
        <w:t xml:space="preserve">• </w:t>
      </w:r>
      <w:r>
        <w:rPr>
          <w:rFonts w:ascii="Arial" w:hAnsi="Arial"/>
          <w:color w:val="1A1A1A"/>
          <w:sz w:val="22"/>
        </w:rPr>
        <w:t>总部：北京（瑞士再保险股份有限公司北京分公司）</w:t>
      </w:r>
    </w:p>
    <w:p>
      <w:pPr>
        <w:spacing w:before="40" w:after="40"/>
        <w:ind w:left="567" w:hanging="283"/>
      </w:pPr>
      <w:r>
        <w:rPr>
          <w:rFonts w:ascii="Arial" w:hAnsi="Arial"/>
          <w:b/>
          <w:color w:val="2C3E50"/>
          <w:sz w:val="22"/>
        </w:rPr>
        <w:t xml:space="preserve">• </w:t>
      </w:r>
      <w:r>
        <w:rPr>
          <w:rFonts w:ascii="Arial" w:hAnsi="Arial"/>
          <w:color w:val="1A1A1A"/>
          <w:sz w:val="22"/>
        </w:rPr>
        <w:t>母公司：瑞士再保险（全球第二大再保险公司）</w:t>
      </w:r>
    </w:p>
    <w:p>
      <w:pPr>
        <w:spacing w:before="60" w:after="60"/>
        <w:jc w:val="left"/>
      </w:pPr>
      <w:r>
        <w:rPr>
          <w:rFonts w:ascii="Arial" w:hAnsi="Arial"/>
          <w:color w:val="1A1A1A"/>
          <w:sz w:val="22"/>
        </w:rPr>
        <w:t xml:space="preserve">🏛️ </w:t>
      </w:r>
      <w:r>
        <w:rPr>
          <w:rFonts w:ascii="Arial" w:hAnsi="Arial"/>
          <w:b/>
          <w:color w:val="1A1A1A"/>
          <w:sz w:val="22"/>
        </w:rPr>
        <w:t>战略定位</w:t>
      </w:r>
    </w:p>
    <w:p>
      <w:pPr>
        <w:spacing w:before="60" w:after="60"/>
        <w:jc w:val="left"/>
      </w:pPr>
      <w:r>
        <w:rPr>
          <w:rFonts w:ascii="Arial" w:hAnsi="Arial"/>
          <w:color w:val="1A1A1A"/>
          <w:sz w:val="22"/>
        </w:rPr>
        <w:t>"以数据和分析驱动的风险知识伙伴"——将瑞再全球领先的Sigma研究和风险洞察力与中国市场实际结合。</w:t>
      </w:r>
    </w:p>
    <w:p>
      <w:pPr>
        <w:spacing w:before="60" w:after="60"/>
        <w:jc w:val="left"/>
      </w:pPr>
      <w:r>
        <w:rPr>
          <w:rFonts w:ascii="Arial" w:hAnsi="Arial"/>
          <w:color w:val="1A1A1A"/>
          <w:sz w:val="22"/>
        </w:rPr>
        <w:t xml:space="preserve">🎯 </w:t>
      </w:r>
      <w:r>
        <w:rPr>
          <w:rFonts w:ascii="Arial" w:hAnsi="Arial"/>
          <w:b/>
          <w:color w:val="1A1A1A"/>
          <w:sz w:val="2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fill="2C3E50"/>
          </w:tcPr>
          <w:p>
            <w:pPr>
              <w:jc w:val="center"/>
            </w:pPr>
            <w:r>
              <w:rPr>
                <w:rFonts w:ascii="Arial" w:hAnsi="Arial"/>
                <w:b/>
                <w:color w:val="FFFFFF"/>
                <w:sz w:val="22"/>
              </w:rPr>
              <w:t>战略维度</w:t>
            </w:r>
          </w:p>
        </w:tc>
        <w:tc>
          <w:tcPr>
            <w:tcW w:type="dxa" w:w="4680"/>
            <w:shd w:fill="2C3E50"/>
          </w:tcPr>
          <w:p>
            <w:pPr>
              <w:jc w:val="center"/>
            </w:pPr>
            <w:r>
              <w:rPr>
                <w:rFonts w:ascii="Arial" w:hAnsi="Arial"/>
                <w:b/>
                <w:color w:val="FFFFFF"/>
                <w:sz w:val="22"/>
              </w:rPr>
              <w:t>方向</w:t>
            </w:r>
          </w:p>
        </w:tc>
      </w:tr>
      <w:tr>
        <w:tc>
          <w:tcPr>
            <w:tcW w:type="dxa" w:w="4680"/>
          </w:tcPr>
          <w:p>
            <w:r>
              <w:rPr>
                <w:rFonts w:ascii="Arial" w:hAnsi="Arial"/>
                <w:b/>
                <w:color w:val="1A1A1A"/>
                <w:sz w:val="20"/>
              </w:rPr>
              <w:t>数据驱动</w:t>
            </w:r>
          </w:p>
        </w:tc>
        <w:tc>
          <w:tcPr>
            <w:tcW w:type="dxa" w:w="4680"/>
          </w:tcPr>
          <w:p>
            <w:r>
              <w:rPr>
                <w:rFonts w:ascii="Arial" w:hAnsi="Arial"/>
                <w:color w:val="1A1A1A"/>
                <w:sz w:val="20"/>
              </w:rPr>
              <w:t>发挥瑞再sigma研究的品牌优势，强化风险咨询服务能力</w:t>
            </w:r>
          </w:p>
        </w:tc>
      </w:tr>
      <w:tr>
        <w:tc>
          <w:tcPr>
            <w:tcW w:type="dxa" w:w="4680"/>
            <w:shd w:fill="F8F9FA"/>
          </w:tcPr>
          <w:p>
            <w:r>
              <w:rPr>
                <w:rFonts w:ascii="Arial" w:hAnsi="Arial"/>
                <w:b/>
                <w:color w:val="1A1A1A"/>
                <w:sz w:val="20"/>
              </w:rPr>
              <w:t>农业再保险</w:t>
            </w:r>
          </w:p>
        </w:tc>
        <w:tc>
          <w:tcPr>
            <w:tcW w:type="dxa" w:w="4680"/>
            <w:shd w:fill="F8F9FA"/>
          </w:tcPr>
          <w:p>
            <w:r>
              <w:rPr>
                <w:rFonts w:ascii="Arial" w:hAnsi="Arial"/>
                <w:color w:val="1A1A1A"/>
                <w:sz w:val="20"/>
              </w:rPr>
              <w:t>利用全球农业保险经验，参与中国政策性农险再保险</w:t>
            </w:r>
          </w:p>
        </w:tc>
      </w:tr>
      <w:tr>
        <w:tc>
          <w:tcPr>
            <w:tcW w:type="dxa" w:w="4680"/>
          </w:tcPr>
          <w:p>
            <w:r>
              <w:rPr>
                <w:rFonts w:ascii="Arial" w:hAnsi="Arial"/>
                <w:b/>
                <w:color w:val="1A1A1A"/>
                <w:sz w:val="20"/>
              </w:rPr>
              <w:t>巨灾风险</w:t>
            </w:r>
          </w:p>
        </w:tc>
        <w:tc>
          <w:tcPr>
            <w:tcW w:type="dxa" w:w="4680"/>
          </w:tcPr>
          <w:p>
            <w:r>
              <w:rPr>
                <w:rFonts w:ascii="Arial" w:hAnsi="Arial"/>
                <w:color w:val="1A1A1A"/>
                <w:sz w:val="20"/>
              </w:rPr>
              <w:t>开发适合中国国情的巨灾模型，推动指数型保险和参数化保险解决方案</w:t>
            </w:r>
          </w:p>
        </w:tc>
      </w:tr>
      <w:tr>
        <w:tc>
          <w:tcPr>
            <w:tcW w:type="dxa" w:w="4680"/>
            <w:shd w:fill="F8F9FA"/>
          </w:tcPr>
          <w:p>
            <w:r>
              <w:rPr>
                <w:rFonts w:ascii="Arial" w:hAnsi="Arial"/>
                <w:b/>
                <w:color w:val="1A1A1A"/>
                <w:sz w:val="20"/>
              </w:rPr>
              <w:t>生命与健康</w:t>
            </w:r>
          </w:p>
        </w:tc>
        <w:tc>
          <w:tcPr>
            <w:tcW w:type="dxa" w:w="4680"/>
            <w:shd w:fill="F8F9FA"/>
          </w:tcPr>
          <w:p>
            <w:r>
              <w:rPr>
                <w:rFonts w:ascii="Arial" w:hAnsi="Arial"/>
                <w:color w:val="1A1A1A"/>
                <w:sz w:val="20"/>
              </w:rPr>
              <w:t>寿险再保险业务创新，聚焦长寿风险、死差风险转移</w:t>
            </w:r>
          </w:p>
        </w:tc>
      </w:tr>
      <w:tr>
        <w:tc>
          <w:tcPr>
            <w:tcW w:type="dxa" w:w="4680"/>
          </w:tcPr>
          <w:p>
            <w:r>
              <w:rPr>
                <w:rFonts w:ascii="Arial" w:hAnsi="Arial"/>
                <w:b/>
                <w:color w:val="1A1A1A"/>
                <w:sz w:val="20"/>
              </w:rPr>
              <w:t>数字化转型</w:t>
            </w:r>
          </w:p>
        </w:tc>
        <w:tc>
          <w:tcPr>
            <w:tcW w:type="dxa" w:w="4680"/>
          </w:tcPr>
          <w:p>
            <w:r>
              <w:rPr>
                <w:rFonts w:ascii="Arial" w:hAnsi="Arial"/>
                <w:color w:val="1A1A1A"/>
                <w:sz w:val="20"/>
              </w:rPr>
              <w:t>推动再保险交易的数字化和标准化（如iClarify等平台）</w:t>
            </w:r>
          </w:p>
        </w:tc>
      </w:tr>
    </w:tbl>
    <w:p/>
    <w:p>
      <w:pPr>
        <w:spacing w:before="60" w:after="60"/>
        <w:jc w:val="left"/>
      </w:pPr>
      <w:r>
        <w:rPr>
          <w:rFonts w:ascii="Arial" w:hAnsi="Arial"/>
          <w:b/>
          <w:color w:val="1A1A1A"/>
          <w:sz w:val="22"/>
        </w:rPr>
        <w:t>市场偏好分析：</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偏好险种</w:t>
      </w:r>
      <w:r>
        <w:rPr>
          <w:rFonts w:ascii="Arial" w:hAnsi="Arial"/>
          <w:color w:val="1A1A1A"/>
          <w:sz w:val="22"/>
        </w:rPr>
        <w:t>：巨灾保险、农业再保险、寿险再保险（长寿风险、死亡风险）、健康险再保险</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核心技术</w:t>
      </w:r>
      <w:r>
        <w:rPr>
          <w:rFonts w:ascii="Arial" w:hAnsi="Arial"/>
          <w:color w:val="1A1A1A"/>
          <w:sz w:val="22"/>
        </w:rPr>
        <w:t>：Sigma研究、巨灾风险建模、精算与定价</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合作模式</w:t>
      </w:r>
      <w:r>
        <w:rPr>
          <w:rFonts w:ascii="Arial" w:hAnsi="Arial"/>
          <w:color w:val="1A1A1A"/>
          <w:sz w:val="22"/>
        </w:rPr>
        <w:t>：合约再保险+临时再保险+风险咨询服务</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增长方向</w:t>
      </w:r>
      <w:r>
        <w:rPr>
          <w:rFonts w:ascii="Arial" w:hAnsi="Arial"/>
          <w:color w:val="1A1A1A"/>
          <w:sz w:val="22"/>
        </w:rPr>
        <w:t>：参数化保险、ESG/绿色保险、科技保险</w:t>
      </w:r>
    </w:p>
    <w:p>
      <w:pPr>
        <w:spacing w:before="120" w:after="120"/>
      </w:pPr>
      <w:r>
        <w:rPr>
          <w:color w:val="7F8C8D"/>
          <w:sz w:val="16"/>
        </w:rPr>
        <w:t>━━━━━━━━━━━━━━━━━━━━━━━━━━━━━━━━━━━━━━━━━━━━━━━━━━━━━━━━━━━━</w:t>
      </w:r>
    </w:p>
    <w:p>
      <w:pPr>
        <w:spacing w:before="240" w:after="120"/>
      </w:pPr>
      <w:r>
        <w:rPr>
          <w:rFonts w:ascii="Arial" w:hAnsi="Arial" w:eastAsia="Arial"/>
          <w:b/>
          <w:color w:val="7F8C8D"/>
          <w:sz w:val="30"/>
        </w:rPr>
        <w:t>2.6 汉诺威再保险（中国）</w:t>
      </w:r>
    </w:p>
    <w:p>
      <w:pPr>
        <w:spacing w:before="60" w:after="60"/>
        <w:jc w:val="left"/>
      </w:pPr>
      <w:r>
        <w:rPr>
          <w:rFonts w:ascii="Arial" w:hAnsi="Arial"/>
          <w:color w:val="1A1A1A"/>
          <w:sz w:val="22"/>
        </w:rPr>
        <w:t xml:space="preserve">📊 </w:t>
      </w:r>
      <w:r>
        <w:rPr>
          <w:rFonts w:ascii="Arial" w:hAnsi="Arial"/>
          <w:b/>
          <w:color w:val="1A1A1A"/>
          <w:sz w:val="22"/>
        </w:rPr>
        <w:t>核心数据</w:t>
      </w:r>
    </w:p>
    <w:p>
      <w:pPr>
        <w:spacing w:before="40" w:after="40"/>
        <w:ind w:left="567" w:hanging="283"/>
      </w:pPr>
      <w:r>
        <w:rPr>
          <w:rFonts w:ascii="Arial" w:hAnsi="Arial"/>
          <w:b/>
          <w:color w:val="2C3E50"/>
          <w:sz w:val="22"/>
        </w:rPr>
        <w:t xml:space="preserve">• </w:t>
      </w:r>
      <w:r>
        <w:rPr>
          <w:rFonts w:ascii="Arial" w:hAnsi="Arial"/>
          <w:color w:val="1A1A1A"/>
          <w:sz w:val="22"/>
        </w:rPr>
        <w:t>总部：上海</w:t>
      </w:r>
    </w:p>
    <w:p>
      <w:pPr>
        <w:spacing w:before="40" w:after="40"/>
        <w:ind w:left="567" w:hanging="283"/>
      </w:pPr>
      <w:r>
        <w:rPr>
          <w:rFonts w:ascii="Arial" w:hAnsi="Arial"/>
          <w:b/>
          <w:color w:val="2C3E50"/>
          <w:sz w:val="22"/>
        </w:rPr>
        <w:t xml:space="preserve">• </w:t>
      </w:r>
      <w:r>
        <w:rPr>
          <w:rFonts w:ascii="Arial" w:hAnsi="Arial"/>
          <w:color w:val="1A1A1A"/>
          <w:sz w:val="22"/>
        </w:rPr>
        <w:t>母公司：汉诺威再保险（全球第三大再保险公司）</w:t>
      </w:r>
    </w:p>
    <w:p>
      <w:pPr>
        <w:spacing w:before="60" w:after="60"/>
        <w:jc w:val="left"/>
      </w:pPr>
      <w:r>
        <w:rPr>
          <w:rFonts w:ascii="Arial" w:hAnsi="Arial"/>
          <w:color w:val="1A1A1A"/>
          <w:sz w:val="22"/>
        </w:rPr>
        <w:t xml:space="preserve">🏛️ </w:t>
      </w:r>
      <w:r>
        <w:rPr>
          <w:rFonts w:ascii="Arial" w:hAnsi="Arial"/>
          <w:b/>
          <w:color w:val="1A1A1A"/>
          <w:sz w:val="22"/>
        </w:rPr>
        <w:t>战略定位</w:t>
      </w:r>
    </w:p>
    <w:p>
      <w:pPr>
        <w:spacing w:before="60" w:after="60"/>
        <w:jc w:val="left"/>
      </w:pPr>
      <w:r>
        <w:rPr>
          <w:rFonts w:ascii="Arial" w:hAnsi="Arial"/>
          <w:color w:val="1A1A1A"/>
          <w:sz w:val="22"/>
        </w:rPr>
        <w:t>"灵活、高效的解决方案提供者"——在全球再保险公司中专注性最高、效率最优，在寿险和健康险再保险领域有独特优势。</w:t>
      </w:r>
    </w:p>
    <w:p>
      <w:pPr>
        <w:spacing w:before="60" w:after="60"/>
        <w:jc w:val="left"/>
      </w:pPr>
      <w:r>
        <w:rPr>
          <w:rFonts w:ascii="Arial" w:hAnsi="Arial"/>
          <w:color w:val="1A1A1A"/>
          <w:sz w:val="22"/>
        </w:rPr>
        <w:t xml:space="preserve">🎯 </w:t>
      </w:r>
      <w:r>
        <w:rPr>
          <w:rFonts w:ascii="Arial" w:hAnsi="Arial"/>
          <w:b/>
          <w:color w:val="1A1A1A"/>
          <w:sz w:val="2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fill="2C3E50"/>
          </w:tcPr>
          <w:p>
            <w:pPr>
              <w:jc w:val="center"/>
            </w:pPr>
            <w:r>
              <w:rPr>
                <w:rFonts w:ascii="Arial" w:hAnsi="Arial"/>
                <w:b/>
                <w:color w:val="FFFFFF"/>
                <w:sz w:val="22"/>
              </w:rPr>
              <w:t>战略维度</w:t>
            </w:r>
          </w:p>
        </w:tc>
        <w:tc>
          <w:tcPr>
            <w:tcW w:type="dxa" w:w="4680"/>
            <w:shd w:fill="2C3E50"/>
          </w:tcPr>
          <w:p>
            <w:pPr>
              <w:jc w:val="center"/>
            </w:pPr>
            <w:r>
              <w:rPr>
                <w:rFonts w:ascii="Arial" w:hAnsi="Arial"/>
                <w:b/>
                <w:color w:val="FFFFFF"/>
                <w:sz w:val="22"/>
              </w:rPr>
              <w:t>方向</w:t>
            </w:r>
          </w:p>
        </w:tc>
      </w:tr>
      <w:tr>
        <w:tc>
          <w:tcPr>
            <w:tcW w:type="dxa" w:w="4680"/>
          </w:tcPr>
          <w:p>
            <w:r>
              <w:rPr>
                <w:rFonts w:ascii="Arial" w:hAnsi="Arial"/>
                <w:b/>
                <w:color w:val="1A1A1A"/>
                <w:sz w:val="20"/>
              </w:rPr>
              <w:t>寿险再保险</w:t>
            </w:r>
          </w:p>
        </w:tc>
        <w:tc>
          <w:tcPr>
            <w:tcW w:type="dxa" w:w="4680"/>
          </w:tcPr>
          <w:p>
            <w:r>
              <w:rPr>
                <w:rFonts w:ascii="Arial" w:hAnsi="Arial"/>
                <w:color w:val="1A1A1A"/>
                <w:sz w:val="20"/>
              </w:rPr>
              <w:t>巩固寿险再保险优势，聚焦保障型产品再保（重疾、定寿、医疗）</w:t>
            </w:r>
          </w:p>
        </w:tc>
      </w:tr>
      <w:tr>
        <w:tc>
          <w:tcPr>
            <w:tcW w:type="dxa" w:w="4680"/>
            <w:shd w:fill="F8F9FA"/>
          </w:tcPr>
          <w:p>
            <w:r>
              <w:rPr>
                <w:rFonts w:ascii="Arial" w:hAnsi="Arial"/>
                <w:b/>
                <w:color w:val="1A1A1A"/>
                <w:sz w:val="20"/>
              </w:rPr>
              <w:t>健康险</w:t>
            </w:r>
          </w:p>
        </w:tc>
        <w:tc>
          <w:tcPr>
            <w:tcW w:type="dxa" w:w="4680"/>
            <w:shd w:fill="F8F9FA"/>
          </w:tcPr>
          <w:p>
            <w:r>
              <w:rPr>
                <w:rFonts w:ascii="Arial" w:hAnsi="Arial"/>
                <w:color w:val="1A1A1A"/>
                <w:sz w:val="20"/>
              </w:rPr>
              <w:t>发展高端医疗险和健康管理服务再保险方案</w:t>
            </w:r>
          </w:p>
        </w:tc>
      </w:tr>
      <w:tr>
        <w:tc>
          <w:tcPr>
            <w:tcW w:type="dxa" w:w="4680"/>
          </w:tcPr>
          <w:p>
            <w:r>
              <w:rPr>
                <w:rFonts w:ascii="Arial" w:hAnsi="Arial"/>
                <w:b/>
                <w:color w:val="1A1A1A"/>
                <w:sz w:val="20"/>
              </w:rPr>
              <w:t>数字化承保</w:t>
            </w:r>
          </w:p>
        </w:tc>
        <w:tc>
          <w:tcPr>
            <w:tcW w:type="dxa" w:w="4680"/>
          </w:tcPr>
          <w:p>
            <w:r>
              <w:rPr>
                <w:rFonts w:ascii="Arial" w:hAnsi="Arial"/>
                <w:color w:val="1A1A1A"/>
                <w:sz w:val="20"/>
              </w:rPr>
              <w:t>推动自动化核保系统bCUTION在国内的应用</w:t>
            </w:r>
          </w:p>
        </w:tc>
      </w:tr>
      <w:tr>
        <w:tc>
          <w:tcPr>
            <w:tcW w:type="dxa" w:w="4680"/>
            <w:shd w:fill="F8F9FA"/>
          </w:tcPr>
          <w:p>
            <w:r>
              <w:rPr>
                <w:rFonts w:ascii="Arial" w:hAnsi="Arial"/>
                <w:b/>
                <w:color w:val="1A1A1A"/>
                <w:sz w:val="20"/>
              </w:rPr>
              <w:t>IFRS17</w:t>
            </w:r>
          </w:p>
        </w:tc>
        <w:tc>
          <w:tcPr>
            <w:tcW w:type="dxa" w:w="4680"/>
            <w:shd w:fill="F8F9FA"/>
          </w:tcPr>
          <w:p>
            <w:r>
              <w:rPr>
                <w:rFonts w:ascii="Arial" w:hAnsi="Arial"/>
                <w:color w:val="1A1A1A"/>
                <w:sz w:val="20"/>
              </w:rPr>
              <w:t>利用全球经验协助客户应对新会计准则实施的再保险安排优化</w:t>
            </w:r>
          </w:p>
        </w:tc>
      </w:tr>
      <w:tr>
        <w:tc>
          <w:tcPr>
            <w:tcW w:type="dxa" w:w="4680"/>
          </w:tcPr>
          <w:p>
            <w:r>
              <w:rPr>
                <w:rFonts w:ascii="Arial" w:hAnsi="Arial"/>
                <w:b/>
                <w:color w:val="1A1A1A"/>
                <w:sz w:val="20"/>
              </w:rPr>
              <w:t>长寿风险</w:t>
            </w:r>
          </w:p>
        </w:tc>
        <w:tc>
          <w:tcPr>
            <w:tcW w:type="dxa" w:w="4680"/>
          </w:tcPr>
          <w:p>
            <w:r>
              <w:rPr>
                <w:rFonts w:ascii="Arial" w:hAnsi="Arial"/>
                <w:color w:val="1A1A1A"/>
                <w:sz w:val="20"/>
              </w:rPr>
              <w:t>应对老龄化趋势下的长寿风险管理需求</w:t>
            </w:r>
          </w:p>
        </w:tc>
      </w:tr>
    </w:tbl>
    <w:p/>
    <w:p>
      <w:pPr>
        <w:spacing w:before="60" w:after="60"/>
        <w:jc w:val="left"/>
      </w:pPr>
      <w:r>
        <w:rPr>
          <w:rFonts w:ascii="Arial" w:hAnsi="Arial"/>
          <w:b/>
          <w:color w:val="1A1A1A"/>
          <w:sz w:val="22"/>
        </w:rPr>
        <w:t>市场偏好分析：</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偏好险种</w:t>
      </w:r>
      <w:r>
        <w:rPr>
          <w:rFonts w:ascii="Arial" w:hAnsi="Arial"/>
          <w:color w:val="1A1A1A"/>
          <w:sz w:val="22"/>
        </w:rPr>
        <w:t>：寿险再保险（重疾险、定期寿险）、健康险再保险、意外险再保险</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核心优势</w:t>
      </w:r>
      <w:r>
        <w:rPr>
          <w:rFonts w:ascii="Arial" w:hAnsi="Arial"/>
          <w:color w:val="1A1A1A"/>
          <w:sz w:val="22"/>
        </w:rPr>
        <w:t>：在寿险再保险领域全球领先，数字化核保能力强</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合作模式</w:t>
      </w:r>
      <w:r>
        <w:rPr>
          <w:rFonts w:ascii="Arial" w:hAnsi="Arial"/>
          <w:color w:val="1A1A1A"/>
          <w:sz w:val="22"/>
        </w:rPr>
        <w:t>：比例再保险为主，以技术输出带动业务合作</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增长方向</w:t>
      </w:r>
      <w:r>
        <w:rPr>
          <w:rFonts w:ascii="Arial" w:hAnsi="Arial"/>
          <w:color w:val="1A1A1A"/>
          <w:sz w:val="22"/>
        </w:rPr>
        <w:t>：养老服务相关风险转移、医疗险再保险</w:t>
      </w:r>
    </w:p>
    <w:p>
      <w:pPr>
        <w:spacing w:before="120" w:after="120"/>
      </w:pPr>
      <w:r>
        <w:rPr>
          <w:color w:val="7F8C8D"/>
          <w:sz w:val="16"/>
        </w:rPr>
        <w:t>━━━━━━━━━━━━━━━━━━━━━━━━━━━━━━━━━━━━━━━━━━━━━━━━━━━━━━━━━━━━</w:t>
      </w:r>
    </w:p>
    <w:p>
      <w:pPr>
        <w:spacing w:before="240" w:after="120"/>
      </w:pPr>
      <w:r>
        <w:rPr>
          <w:rFonts w:ascii="Arial" w:hAnsi="Arial" w:eastAsia="Arial"/>
          <w:b/>
          <w:color w:val="7F8C8D"/>
          <w:sz w:val="30"/>
        </w:rPr>
        <w:t>2.7 前海再保险</w:t>
      </w:r>
    </w:p>
    <w:p>
      <w:pPr>
        <w:spacing w:before="60" w:after="60"/>
        <w:jc w:val="left"/>
      </w:pPr>
      <w:r>
        <w:rPr>
          <w:rFonts w:ascii="Arial" w:hAnsi="Arial"/>
          <w:color w:val="1A1A1A"/>
          <w:sz w:val="22"/>
        </w:rPr>
        <w:t xml:space="preserve">📊 </w:t>
      </w:r>
      <w:r>
        <w:rPr>
          <w:rFonts w:ascii="Arial" w:hAnsi="Arial"/>
          <w:b/>
          <w:color w:val="1A1A1A"/>
          <w:sz w:val="22"/>
        </w:rPr>
        <w:t>核心数据</w:t>
      </w:r>
    </w:p>
    <w:p>
      <w:pPr>
        <w:spacing w:before="40" w:after="40"/>
        <w:ind w:left="567" w:hanging="283"/>
      </w:pPr>
      <w:r>
        <w:rPr>
          <w:rFonts w:ascii="Arial" w:hAnsi="Arial"/>
          <w:b/>
          <w:color w:val="2C3E50"/>
          <w:sz w:val="22"/>
        </w:rPr>
        <w:t xml:space="preserve">• </w:t>
      </w:r>
      <w:r>
        <w:rPr>
          <w:rFonts w:ascii="Arial" w:hAnsi="Arial"/>
          <w:color w:val="1A1A1A"/>
          <w:sz w:val="22"/>
        </w:rPr>
        <w:t>成立时间：2016年</w:t>
      </w:r>
    </w:p>
    <w:p>
      <w:pPr>
        <w:spacing w:before="40" w:after="40"/>
        <w:ind w:left="567" w:hanging="283"/>
      </w:pPr>
      <w:r>
        <w:rPr>
          <w:rFonts w:ascii="Arial" w:hAnsi="Arial"/>
          <w:b/>
          <w:color w:val="2C3E50"/>
          <w:sz w:val="22"/>
        </w:rPr>
        <w:t xml:space="preserve">• </w:t>
      </w:r>
      <w:r>
        <w:rPr>
          <w:rFonts w:ascii="Arial" w:hAnsi="Arial"/>
          <w:color w:val="1A1A1A"/>
          <w:sz w:val="22"/>
        </w:rPr>
        <w:t>总部：深圳前海</w:t>
      </w:r>
    </w:p>
    <w:p>
      <w:pPr>
        <w:spacing w:before="40" w:after="40"/>
        <w:ind w:left="567" w:hanging="283"/>
      </w:pPr>
      <w:r>
        <w:rPr>
          <w:rFonts w:ascii="Arial" w:hAnsi="Arial"/>
          <w:b/>
          <w:color w:val="2C3E50"/>
          <w:sz w:val="22"/>
        </w:rPr>
        <w:t xml:space="preserve">• </w:t>
      </w:r>
      <w:r>
        <w:rPr>
          <w:rFonts w:ascii="Arial" w:hAnsi="Arial"/>
          <w:color w:val="1A1A1A"/>
          <w:sz w:val="22"/>
        </w:rPr>
        <w:t>2025年保费收入：约20-30亿元</w:t>
      </w:r>
    </w:p>
    <w:p>
      <w:pPr>
        <w:spacing w:before="40" w:after="40"/>
        <w:ind w:left="567" w:hanging="283"/>
      </w:pPr>
      <w:r>
        <w:rPr>
          <w:rFonts w:ascii="Arial" w:hAnsi="Arial"/>
          <w:b/>
          <w:color w:val="2C3E50"/>
          <w:sz w:val="22"/>
        </w:rPr>
        <w:t xml:space="preserve">• </w:t>
      </w:r>
      <w:r>
        <w:rPr>
          <w:rFonts w:ascii="Arial" w:hAnsi="Arial"/>
          <w:color w:val="1A1A1A"/>
          <w:sz w:val="22"/>
        </w:rPr>
        <w:t>股东结构：前海金控、中国邮政集团、远致投资等</w:t>
      </w:r>
    </w:p>
    <w:p>
      <w:pPr>
        <w:spacing w:before="60" w:after="60"/>
        <w:jc w:val="left"/>
      </w:pPr>
      <w:r>
        <w:rPr>
          <w:rFonts w:ascii="Arial" w:hAnsi="Arial"/>
          <w:color w:val="1A1A1A"/>
          <w:sz w:val="22"/>
        </w:rPr>
        <w:t xml:space="preserve">🏛️ </w:t>
      </w:r>
      <w:r>
        <w:rPr>
          <w:rFonts w:ascii="Arial" w:hAnsi="Arial"/>
          <w:b/>
          <w:color w:val="1A1A1A"/>
          <w:sz w:val="22"/>
        </w:rPr>
        <w:t>战略定位</w:t>
      </w:r>
    </w:p>
    <w:p>
      <w:pPr>
        <w:spacing w:before="60" w:after="60"/>
        <w:jc w:val="left"/>
      </w:pPr>
      <w:r>
        <w:rPr>
          <w:rFonts w:ascii="Arial" w:hAnsi="Arial"/>
          <w:color w:val="1A1A1A"/>
          <w:sz w:val="22"/>
        </w:rPr>
        <w:t>"创新型再保险平台"——国内首家混合所有制再保险公司，定位灵活创新，聚焦细分市场。</w:t>
      </w:r>
    </w:p>
    <w:p>
      <w:pPr>
        <w:spacing w:before="60" w:after="60"/>
        <w:jc w:val="left"/>
      </w:pPr>
      <w:r>
        <w:rPr>
          <w:rFonts w:ascii="Arial" w:hAnsi="Arial"/>
          <w:color w:val="1A1A1A"/>
          <w:sz w:val="22"/>
        </w:rPr>
        <w:t xml:space="preserve">🎯 </w:t>
      </w:r>
      <w:r>
        <w:rPr>
          <w:rFonts w:ascii="Arial" w:hAnsi="Arial"/>
          <w:b/>
          <w:color w:val="1A1A1A"/>
          <w:sz w:val="22"/>
        </w:rPr>
        <w:t>未来1-3年战略方向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type="dxa" w:w="4680"/>
            <w:shd w:fill="2C3E50"/>
          </w:tcPr>
          <w:p>
            <w:pPr>
              <w:jc w:val="center"/>
            </w:pPr>
            <w:r>
              <w:rPr>
                <w:rFonts w:ascii="Arial" w:hAnsi="Arial"/>
                <w:b/>
                <w:color w:val="FFFFFF"/>
                <w:sz w:val="22"/>
              </w:rPr>
              <w:t>战略维度</w:t>
            </w:r>
          </w:p>
        </w:tc>
        <w:tc>
          <w:tcPr>
            <w:tcW w:type="dxa" w:w="4680"/>
            <w:shd w:fill="2C3E50"/>
          </w:tcPr>
          <w:p>
            <w:pPr>
              <w:jc w:val="center"/>
            </w:pPr>
            <w:r>
              <w:rPr>
                <w:rFonts w:ascii="Arial" w:hAnsi="Arial"/>
                <w:b/>
                <w:color w:val="FFFFFF"/>
                <w:sz w:val="22"/>
              </w:rPr>
              <w:t>方向</w:t>
            </w:r>
          </w:p>
        </w:tc>
      </w:tr>
      <w:tr>
        <w:tc>
          <w:tcPr>
            <w:tcW w:type="dxa" w:w="4680"/>
          </w:tcPr>
          <w:p>
            <w:r>
              <w:rPr>
                <w:rFonts w:ascii="Arial" w:hAnsi="Arial"/>
                <w:b/>
                <w:color w:val="1A1A1A"/>
                <w:sz w:val="20"/>
              </w:rPr>
              <w:t>差异化竞争</w:t>
            </w:r>
          </w:p>
        </w:tc>
        <w:tc>
          <w:tcPr>
            <w:tcW w:type="dxa" w:w="4680"/>
          </w:tcPr>
          <w:p>
            <w:r>
              <w:rPr>
                <w:rFonts w:ascii="Arial" w:hAnsi="Arial"/>
                <w:color w:val="1A1A1A"/>
                <w:sz w:val="20"/>
              </w:rPr>
              <w:t>专注中小保险公司和区域保险机构再保险需求</w:t>
            </w:r>
          </w:p>
        </w:tc>
      </w:tr>
      <w:tr>
        <w:tc>
          <w:tcPr>
            <w:tcW w:type="dxa" w:w="4680"/>
            <w:shd w:fill="F8F9FA"/>
          </w:tcPr>
          <w:p>
            <w:r>
              <w:rPr>
                <w:rFonts w:ascii="Arial" w:hAnsi="Arial"/>
                <w:b/>
                <w:color w:val="1A1A1A"/>
                <w:sz w:val="20"/>
              </w:rPr>
              <w:t>科技驱动</w:t>
            </w:r>
          </w:p>
        </w:tc>
        <w:tc>
          <w:tcPr>
            <w:tcW w:type="dxa" w:w="4680"/>
            <w:shd w:fill="F8F9FA"/>
          </w:tcPr>
          <w:p>
            <w:r>
              <w:rPr>
                <w:rFonts w:ascii="Arial" w:hAnsi="Arial"/>
                <w:color w:val="1A1A1A"/>
                <w:sz w:val="20"/>
              </w:rPr>
              <w:t>建设科技赋能型再保险平台，推动区块链、大数据在再保业务中的应用</w:t>
            </w:r>
          </w:p>
        </w:tc>
      </w:tr>
      <w:tr>
        <w:tc>
          <w:tcPr>
            <w:tcW w:type="dxa" w:w="4680"/>
          </w:tcPr>
          <w:p>
            <w:r>
              <w:rPr>
                <w:rFonts w:ascii="Arial" w:hAnsi="Arial"/>
                <w:b/>
                <w:color w:val="1A1A1A"/>
                <w:sz w:val="20"/>
              </w:rPr>
              <w:t>普惠保险</w:t>
            </w:r>
          </w:p>
        </w:tc>
        <w:tc>
          <w:tcPr>
            <w:tcW w:type="dxa" w:w="4680"/>
          </w:tcPr>
          <w:p>
            <w:r>
              <w:rPr>
                <w:rFonts w:ascii="Arial" w:hAnsi="Arial"/>
                <w:color w:val="1A1A1A"/>
                <w:sz w:val="20"/>
              </w:rPr>
              <w:t>发展普惠型保险再保险方案（小额保险、农业保险）</w:t>
            </w:r>
          </w:p>
        </w:tc>
      </w:tr>
      <w:tr>
        <w:tc>
          <w:tcPr>
            <w:tcW w:type="dxa" w:w="4680"/>
            <w:shd w:fill="F8F9FA"/>
          </w:tcPr>
          <w:p>
            <w:r>
              <w:rPr>
                <w:rFonts w:ascii="Arial" w:hAnsi="Arial"/>
                <w:b/>
                <w:color w:val="1A1A1A"/>
                <w:sz w:val="20"/>
              </w:rPr>
              <w:t>区域聚焦</w:t>
            </w:r>
          </w:p>
        </w:tc>
        <w:tc>
          <w:tcPr>
            <w:tcW w:type="dxa" w:w="4680"/>
            <w:shd w:fill="F8F9FA"/>
          </w:tcPr>
          <w:p>
            <w:r>
              <w:rPr>
                <w:rFonts w:ascii="Arial" w:hAnsi="Arial"/>
                <w:color w:val="1A1A1A"/>
                <w:sz w:val="20"/>
              </w:rPr>
              <w:t>立足大湾区，辐射服务全国中小保险公司</w:t>
            </w:r>
          </w:p>
        </w:tc>
      </w:tr>
      <w:tr>
        <w:tc>
          <w:tcPr>
            <w:tcW w:type="dxa" w:w="4680"/>
          </w:tcPr>
          <w:p>
            <w:r>
              <w:rPr>
                <w:rFonts w:ascii="Arial" w:hAnsi="Arial"/>
                <w:b/>
                <w:color w:val="1A1A1A"/>
                <w:sz w:val="20"/>
              </w:rPr>
              <w:t>产品创新</w:t>
            </w:r>
          </w:p>
        </w:tc>
        <w:tc>
          <w:tcPr>
            <w:tcW w:type="dxa" w:w="4680"/>
          </w:tcPr>
          <w:p>
            <w:r>
              <w:rPr>
                <w:rFonts w:ascii="Arial" w:hAnsi="Arial"/>
                <w:color w:val="1A1A1A"/>
                <w:sz w:val="20"/>
              </w:rPr>
              <w:t>互联网保险再保险、碎片化风险转移方案</w:t>
            </w:r>
          </w:p>
        </w:tc>
      </w:tr>
    </w:tbl>
    <w:p/>
    <w:p>
      <w:pPr>
        <w:spacing w:before="60" w:after="60"/>
        <w:jc w:val="left"/>
      </w:pPr>
      <w:r>
        <w:rPr>
          <w:rFonts w:ascii="Arial" w:hAnsi="Arial"/>
          <w:b/>
          <w:color w:val="1A1A1A"/>
          <w:sz w:val="22"/>
        </w:rPr>
        <w:t>市场偏好分析：</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偏好险种</w:t>
      </w:r>
      <w:r>
        <w:rPr>
          <w:rFonts w:ascii="Arial" w:hAnsi="Arial"/>
          <w:color w:val="1A1A1A"/>
          <w:sz w:val="22"/>
        </w:rPr>
        <w:t>：财产险、意外险、短期健康险、信用保证保险</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核心竞争力</w:t>
      </w:r>
      <w:r>
        <w:rPr>
          <w:rFonts w:ascii="Arial" w:hAnsi="Arial"/>
          <w:color w:val="1A1A1A"/>
          <w:sz w:val="22"/>
        </w:rPr>
        <w:t>：决策灵活、审批高效、定制化能力</w:t>
      </w:r>
    </w:p>
    <w:p>
      <w:pPr>
        <w:spacing w:before="40" w:after="40"/>
        <w:ind w:left="567" w:hanging="283"/>
      </w:pPr>
      <w:r>
        <w:rPr>
          <w:rFonts w:ascii="Arial" w:hAnsi="Arial"/>
          <w:b/>
          <w:color w:val="2C3E50"/>
          <w:sz w:val="22"/>
        </w:rPr>
        <w:t xml:space="preserve">• </w:t>
      </w:r>
      <w:r>
        <w:rPr>
          <w:rFonts w:ascii="Arial" w:hAnsi="Arial"/>
          <w:color w:val="1A1A1A"/>
          <w:sz w:val="22"/>
        </w:rPr>
        <w:t xml:space="preserve">⚠️ </w:t>
      </w:r>
      <w:r>
        <w:rPr>
          <w:rFonts w:ascii="Arial" w:hAnsi="Arial"/>
          <w:b/>
          <w:color w:val="1A1A1A"/>
          <w:sz w:val="22"/>
        </w:rPr>
        <w:t>面临挑战</w:t>
      </w:r>
      <w:r>
        <w:rPr>
          <w:rFonts w:ascii="Arial" w:hAnsi="Arial"/>
          <w:color w:val="1A1A1A"/>
          <w:sz w:val="22"/>
        </w:rPr>
        <w:t>：资本规模有限、国际评级较弱</w:t>
      </w:r>
    </w:p>
    <w:p>
      <w:pPr>
        <w:spacing w:before="120" w:after="120"/>
      </w:pPr>
      <w:r>
        <w:rPr>
          <w:color w:val="7F8C8D"/>
          <w:sz w:val="16"/>
        </w:rPr>
        <w:t>━━━━━━━━━━━━━━━━━━━━━━━━━━━━━━━━━━━━━━━━━━━━━━━━━━━━━━━━━━━━</w:t>
      </w:r>
    </w:p>
    <w:p>
      <w:pPr>
        <w:pBdr>
          <w:bottom w:val="single" w:sz="6" w:space="4" w:color="2C3E50"/>
        </w:pBdr>
        <w:spacing w:before="360" w:after="160"/>
      </w:pPr>
      <w:r>
        <w:rPr>
          <w:rFonts w:ascii="Arial" w:hAnsi="Arial" w:eastAsia="Arial"/>
          <w:b/>
          <w:color w:val="2C3E50"/>
          <w:sz w:val="36"/>
        </w:rPr>
        <w:t>三、未来1-3年市场趋势判断</w:t>
      </w:r>
    </w:p>
    <w:p>
      <w:pPr>
        <w:spacing w:before="240" w:after="120"/>
      </w:pPr>
      <w:r>
        <w:rPr>
          <w:rFonts w:ascii="Arial" w:hAnsi="Arial" w:eastAsia="Arial"/>
          <w:b/>
          <w:color w:val="7F8C8D"/>
          <w:sz w:val="30"/>
        </w:rPr>
        <w:t>3.1 行业经营格局演变</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2C3E50"/>
          </w:tcPr>
          <w:p>
            <w:pPr>
              <w:jc w:val="center"/>
            </w:pPr>
            <w:r>
              <w:rPr>
                <w:rFonts w:ascii="Arial" w:hAnsi="Arial"/>
                <w:b/>
                <w:color w:val="FFFFFF"/>
                <w:sz w:val="22"/>
              </w:rPr>
              <w:t>趋势</w:t>
            </w:r>
          </w:p>
        </w:tc>
        <w:tc>
          <w:tcPr>
            <w:tcW w:type="dxa" w:w="3120"/>
            <w:shd w:fill="2C3E50"/>
          </w:tcPr>
          <w:p>
            <w:pPr>
              <w:jc w:val="center"/>
            </w:pPr>
            <w:r>
              <w:rPr>
                <w:rFonts w:ascii="Arial" w:hAnsi="Arial"/>
                <w:b/>
                <w:color w:val="FFFFFF"/>
                <w:sz w:val="22"/>
              </w:rPr>
              <w:t>具体表现</w:t>
            </w:r>
          </w:p>
        </w:tc>
        <w:tc>
          <w:tcPr>
            <w:tcW w:type="dxa" w:w="3120"/>
            <w:shd w:fill="2C3E50"/>
          </w:tcPr>
          <w:p>
            <w:pPr>
              <w:jc w:val="center"/>
            </w:pPr>
            <w:r>
              <w:rPr>
                <w:rFonts w:ascii="Arial" w:hAnsi="Arial"/>
                <w:b/>
                <w:color w:val="FFFFFF"/>
                <w:sz w:val="22"/>
              </w:rPr>
              <w:t>影响程度</w:t>
            </w:r>
          </w:p>
        </w:tc>
      </w:tr>
      <w:tr>
        <w:tc>
          <w:tcPr>
            <w:tcW w:type="dxa" w:w="3120"/>
          </w:tcPr>
          <w:p>
            <w:r>
              <w:rPr>
                <w:rFonts w:ascii="Arial" w:hAnsi="Arial"/>
                <w:b/>
                <w:color w:val="1A1A1A"/>
                <w:sz w:val="20"/>
              </w:rPr>
              <w:t>市场份额集中化</w:t>
            </w:r>
          </w:p>
        </w:tc>
        <w:tc>
          <w:tcPr>
            <w:tcW w:type="dxa" w:w="3120"/>
          </w:tcPr>
          <w:p>
            <w:r>
              <w:rPr>
                <w:rFonts w:ascii="Arial" w:hAnsi="Arial"/>
                <w:color w:val="1A1A1A"/>
                <w:sz w:val="20"/>
              </w:rPr>
              <w:t>中再集团主导地位稳固，外资再保险市场份额提升</w:t>
            </w:r>
          </w:p>
        </w:tc>
        <w:tc>
          <w:tcPr>
            <w:tcW w:type="dxa" w:w="3120"/>
          </w:tcPr>
          <w:p>
            <w:r>
              <w:rPr>
                <w:rFonts w:ascii="Arial" w:hAnsi="Arial"/>
                <w:color w:val="1A1A1A"/>
                <w:sz w:val="20"/>
              </w:rPr>
              <w:t>⭐⭐⭐⭐⭐</w:t>
            </w:r>
          </w:p>
        </w:tc>
      </w:tr>
      <w:tr>
        <w:tc>
          <w:tcPr>
            <w:tcW w:type="dxa" w:w="3120"/>
            <w:shd w:fill="F8F9FA"/>
          </w:tcPr>
          <w:p>
            <w:r>
              <w:rPr>
                <w:rFonts w:ascii="Arial" w:hAnsi="Arial"/>
                <w:b/>
                <w:color w:val="1A1A1A"/>
                <w:sz w:val="20"/>
              </w:rPr>
              <w:t>专业化分工深化</w:t>
            </w:r>
          </w:p>
        </w:tc>
        <w:tc>
          <w:tcPr>
            <w:tcW w:type="dxa" w:w="3120"/>
            <w:shd w:fill="F8F9FA"/>
          </w:tcPr>
          <w:p>
            <w:r>
              <w:rPr>
                <w:rFonts w:ascii="Arial" w:hAnsi="Arial"/>
                <w:color w:val="1A1A1A"/>
                <w:sz w:val="20"/>
              </w:rPr>
              <w:t>各公司在细分领域形成差异化竞争力</w:t>
            </w:r>
          </w:p>
        </w:tc>
        <w:tc>
          <w:tcPr>
            <w:tcW w:type="dxa" w:w="3120"/>
            <w:shd w:fill="F8F9FA"/>
          </w:tcPr>
          <w:p>
            <w:r>
              <w:rPr>
                <w:rFonts w:ascii="Arial" w:hAnsi="Arial"/>
                <w:color w:val="1A1A1A"/>
                <w:sz w:val="20"/>
              </w:rPr>
              <w:t>⭐⭐⭐⭐</w:t>
            </w:r>
          </w:p>
        </w:tc>
      </w:tr>
      <w:tr>
        <w:tc>
          <w:tcPr>
            <w:tcW w:type="dxa" w:w="3120"/>
          </w:tcPr>
          <w:p>
            <w:r>
              <w:rPr>
                <w:rFonts w:ascii="Arial" w:hAnsi="Arial"/>
                <w:b/>
                <w:color w:val="1A1A1A"/>
                <w:sz w:val="20"/>
              </w:rPr>
              <w:t>科技驱动转型</w:t>
            </w:r>
          </w:p>
        </w:tc>
        <w:tc>
          <w:tcPr>
            <w:tcW w:type="dxa" w:w="3120"/>
          </w:tcPr>
          <w:p>
            <w:r>
              <w:rPr>
                <w:rFonts w:ascii="Arial" w:hAnsi="Arial"/>
                <w:color w:val="1A1A1A"/>
                <w:sz w:val="20"/>
              </w:rPr>
              <w:t>AI、大数据、区块链改变承保和定价模式</w:t>
            </w:r>
          </w:p>
        </w:tc>
        <w:tc>
          <w:tcPr>
            <w:tcW w:type="dxa" w:w="3120"/>
          </w:tcPr>
          <w:p>
            <w:r>
              <w:rPr>
                <w:rFonts w:ascii="Arial" w:hAnsi="Arial"/>
                <w:color w:val="1A1A1A"/>
                <w:sz w:val="20"/>
              </w:rPr>
              <w:t>⭐⭐⭐⭐</w:t>
            </w:r>
          </w:p>
        </w:tc>
      </w:tr>
      <w:tr>
        <w:tc>
          <w:tcPr>
            <w:tcW w:type="dxa" w:w="3120"/>
            <w:shd w:fill="F8F9FA"/>
          </w:tcPr>
          <w:p>
            <w:r>
              <w:rPr>
                <w:rFonts w:ascii="Arial" w:hAnsi="Arial"/>
                <w:b/>
                <w:color w:val="1A1A1A"/>
                <w:sz w:val="20"/>
              </w:rPr>
              <w:t>国际化加速</w:t>
            </w:r>
          </w:p>
        </w:tc>
        <w:tc>
          <w:tcPr>
            <w:tcW w:type="dxa" w:w="3120"/>
            <w:shd w:fill="F8F9FA"/>
          </w:tcPr>
          <w:p>
            <w:r>
              <w:rPr>
                <w:rFonts w:ascii="Arial" w:hAnsi="Arial"/>
                <w:color w:val="1A1A1A"/>
                <w:sz w:val="20"/>
              </w:rPr>
              <w:t>中资再保险"走出去" + 外资再保险"引进来"双向互动</w:t>
            </w:r>
          </w:p>
        </w:tc>
        <w:tc>
          <w:tcPr>
            <w:tcW w:type="dxa" w:w="3120"/>
            <w:shd w:fill="F8F9FA"/>
          </w:tcPr>
          <w:p>
            <w:r>
              <w:rPr>
                <w:rFonts w:ascii="Arial" w:hAnsi="Arial"/>
                <w:color w:val="1A1A1A"/>
                <w:sz w:val="20"/>
              </w:rPr>
              <w:t>⭐⭐⭐⭐</w:t>
            </w:r>
          </w:p>
        </w:tc>
      </w:tr>
      <w:tr>
        <w:tc>
          <w:tcPr>
            <w:tcW w:type="dxa" w:w="3120"/>
          </w:tcPr>
          <w:p>
            <w:r>
              <w:rPr>
                <w:rFonts w:ascii="Arial" w:hAnsi="Arial"/>
                <w:b/>
                <w:color w:val="1A1A1A"/>
                <w:sz w:val="20"/>
              </w:rPr>
              <w:t>资本结构多元化</w:t>
            </w:r>
          </w:p>
        </w:tc>
        <w:tc>
          <w:tcPr>
            <w:tcW w:type="dxa" w:w="3120"/>
          </w:tcPr>
          <w:p>
            <w:r>
              <w:rPr>
                <w:rFonts w:ascii="Arial" w:hAnsi="Arial"/>
                <w:color w:val="1A1A1A"/>
                <w:sz w:val="20"/>
              </w:rPr>
              <w:t>巨灾债券、ILS等新型风险转移工具发展</w:t>
            </w:r>
          </w:p>
        </w:tc>
        <w:tc>
          <w:tcPr>
            <w:tcW w:type="dxa" w:w="3120"/>
          </w:tcPr>
          <w:p>
            <w:r>
              <w:rPr>
                <w:rFonts w:ascii="Arial" w:hAnsi="Arial"/>
                <w:color w:val="1A1A1A"/>
                <w:sz w:val="20"/>
              </w:rPr>
              <w:t>⭐⭐⭐</w:t>
            </w:r>
          </w:p>
        </w:tc>
      </w:tr>
    </w:tbl>
    <w:p/>
    <w:p>
      <w:pPr>
        <w:spacing w:before="240" w:after="120"/>
      </w:pPr>
      <w:r>
        <w:rPr>
          <w:rFonts w:ascii="Arial" w:hAnsi="Arial" w:eastAsia="Arial"/>
          <w:b/>
          <w:color w:val="7F8C8D"/>
          <w:sz w:val="30"/>
        </w:rPr>
        <w:t>3.2 各公司市场偏好对比矩阵</w:t>
      </w:r>
    </w:p>
    <w:tbl>
      <w:tblPr>
        <w:tblW w:type="auto" w:w="0"/>
        <w:jc w:val="left"/>
        <w:tblLook w:firstColumn="1" w:firstRow="1" w:lastColumn="0" w:lastRow="0" w:noHBand="0" w:noVBand="1" w:val="04A0"/>
      </w:tblPr>
      <w:tblGrid>
        <w:gridCol w:w="9360"/>
      </w:tblGrid>
      <w:tr>
        <w:tc>
          <w:tcPr>
            <w:tcW w:type="dxa" w:w="9360"/>
            <w:shd w:fill="ECF0F1"/>
          </w:tcPr>
          <w:p>
            <w:pPr>
              <w:spacing w:before="0" w:after="0" w:line="288" w:lineRule="auto"/>
            </w:pPr>
            <w:r>
              <w:rPr>
                <w:rFonts w:ascii="Courier New" w:hAnsi="Courier New"/>
                <w:color w:val="2C3E50"/>
                <w:sz w:val="20"/>
              </w:rPr>
              <w:t xml:space="preserve">                     传统业务 ←━━━━━━━━━━━→ 创新业务</w:t>
            </w:r>
          </w:p>
          <w:p>
            <w:pPr>
              <w:spacing w:before="0" w:after="0" w:line="288" w:lineRule="auto"/>
            </w:pPr>
            <w:r>
              <w:rPr>
                <w:rFonts w:ascii="Courier New" w:hAnsi="Courier New"/>
                <w:color w:val="2C3E50"/>
                <w:sz w:val="20"/>
              </w:rPr>
              <w:t xml:space="preserve">                           |              |</w:t>
            </w:r>
          </w:p>
          <w:p>
            <w:pPr>
              <w:spacing w:before="0" w:after="0" w:line="288" w:lineRule="auto"/>
            </w:pPr>
            <w:r>
              <w:rPr>
                <w:rFonts w:ascii="Courier New" w:hAnsi="Courier New"/>
                <w:color w:val="2C3E50"/>
                <w:sz w:val="20"/>
              </w:rPr>
              <w:t xml:space="preserve">    高风控能力 ──── 慕再(巨灾/能源)    ── 中再(一带一路特殊风险)</w:t>
            </w:r>
          </w:p>
          <w:p>
            <w:pPr>
              <w:spacing w:before="0" w:after="0" w:line="288" w:lineRule="auto"/>
            </w:pPr>
            <w:r>
              <w:rPr>
                <w:rFonts w:ascii="Courier New" w:hAnsi="Courier New"/>
                <w:color w:val="2C3E50"/>
                <w:sz w:val="20"/>
              </w:rPr>
              <w:t xml:space="preserve">    (国际技术)          瑞再(农险/巨灾)   ── 慕再(绿色保险/ILS)</w:t>
            </w:r>
          </w:p>
          <w:p>
            <w:pPr>
              <w:spacing w:before="0" w:after="0" w:line="288" w:lineRule="auto"/>
            </w:pPr>
            <w:r>
              <w:rPr>
                <w:rFonts w:ascii="Courier New" w:hAnsi="Courier New"/>
                <w:color w:val="2C3E50"/>
                <w:sz w:val="20"/>
              </w:rPr>
              <w:t xml:space="preserve">                         汉诺威(寿险/健康) ── 瑞再(参数化保险)</w:t>
            </w:r>
          </w:p>
          <w:p>
            <w:pPr>
              <w:spacing w:before="0" w:after="0" w:line="288" w:lineRule="auto"/>
            </w:pPr>
            <w:r>
              <w:rPr>
                <w:rFonts w:ascii="Courier New" w:hAnsi="Courier New"/>
                <w:color w:val="2C3E50"/>
                <w:sz w:val="20"/>
              </w:rPr>
              <w:t xml:space="preserve">                           |              |</w:t>
            </w:r>
          </w:p>
          <w:p>
            <w:pPr>
              <w:spacing w:before="0" w:after="0" w:line="288" w:lineRule="auto"/>
            </w:pPr>
            <w:r>
              <w:rPr>
                <w:rFonts w:ascii="Courier New" w:hAnsi="Courier New"/>
                <w:color w:val="2C3E50"/>
                <w:sz w:val="20"/>
              </w:rPr>
              <w:t xml:space="preserve">    本土资源优势 ── 中再(核保险/基建)    ── 前海(互联网/普惠)</w:t>
            </w:r>
          </w:p>
          <w:p>
            <w:pPr>
              <w:spacing w:before="0" w:after="0" w:line="288" w:lineRule="auto"/>
            </w:pPr>
            <w:r>
              <w:rPr>
                <w:rFonts w:ascii="Courier New" w:hAnsi="Courier New"/>
                <w:color w:val="2C3E50"/>
                <w:sz w:val="20"/>
              </w:rPr>
              <w:t xml:space="preserve">    (本地渠道)         太平(大湾区/港澳)  ── 人保再(政策性/农险)</w:t>
            </w:r>
          </w:p>
          <w:p>
            <w:pPr>
              <w:spacing w:before="0" w:after="0" w:line="288" w:lineRule="auto"/>
            </w:pPr>
            <w:r>
              <w:rPr>
                <w:rFonts w:ascii="Courier New" w:hAnsi="Courier New"/>
                <w:color w:val="2C3E50"/>
                <w:sz w:val="20"/>
              </w:rPr>
              <w:t xml:space="preserve">                         人保再(农险/市政)  ── 太平(跨境/自贸港)</w:t>
            </w:r>
          </w:p>
          <w:p>
            <w:pPr>
              <w:spacing w:before="0" w:after="0" w:line="288" w:lineRule="auto"/>
            </w:pPr>
            <w:r>
              <w:rPr>
                <w:rFonts w:ascii="Courier New" w:hAnsi="Courier New"/>
                <w:color w:val="2C3E50"/>
                <w:sz w:val="20"/>
              </w:rPr>
              <w:t xml:space="preserve">                           |              |</w:t>
            </w:r>
          </w:p>
        </w:tc>
      </w:tr>
    </w:tbl>
    <w:p/>
    <w:p>
      <w:pPr>
        <w:spacing w:before="240" w:after="120"/>
      </w:pPr>
      <w:r>
        <w:rPr>
          <w:rFonts w:ascii="Arial" w:hAnsi="Arial" w:eastAsia="Arial"/>
          <w:b/>
          <w:color w:val="7F8C8D"/>
          <w:sz w:val="30"/>
        </w:rPr>
        <w:t>3.3 竞争焦点</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2C3E50"/>
          </w:tcPr>
          <w:p>
            <w:pPr>
              <w:jc w:val="center"/>
            </w:pPr>
            <w:r>
              <w:rPr>
                <w:rFonts w:ascii="Arial" w:hAnsi="Arial"/>
                <w:b/>
                <w:color w:val="FFFFFF"/>
                <w:sz w:val="22"/>
              </w:rPr>
              <w:t>竞争领域</w:t>
            </w:r>
          </w:p>
        </w:tc>
        <w:tc>
          <w:tcPr>
            <w:tcW w:type="dxa" w:w="3120"/>
            <w:shd w:fill="2C3E50"/>
          </w:tcPr>
          <w:p>
            <w:pPr>
              <w:jc w:val="center"/>
            </w:pPr>
            <w:r>
              <w:rPr>
                <w:rFonts w:ascii="Arial" w:hAnsi="Arial"/>
                <w:b/>
                <w:color w:val="FFFFFF"/>
                <w:sz w:val="22"/>
              </w:rPr>
              <w:t>主要参与者</w:t>
            </w:r>
          </w:p>
        </w:tc>
        <w:tc>
          <w:tcPr>
            <w:tcW w:type="dxa" w:w="3120"/>
            <w:shd w:fill="2C3E50"/>
          </w:tcPr>
          <w:p>
            <w:pPr>
              <w:jc w:val="center"/>
            </w:pPr>
            <w:r>
              <w:rPr>
                <w:rFonts w:ascii="Arial" w:hAnsi="Arial"/>
                <w:b/>
                <w:color w:val="FFFFFF"/>
                <w:sz w:val="22"/>
              </w:rPr>
              <w:t>策略特征</w:t>
            </w:r>
          </w:p>
        </w:tc>
      </w:tr>
      <w:tr>
        <w:tc>
          <w:tcPr>
            <w:tcW w:type="dxa" w:w="3120"/>
          </w:tcPr>
          <w:p>
            <w:r>
              <w:rPr>
                <w:rFonts w:ascii="Arial" w:hAnsi="Arial"/>
                <w:b/>
                <w:color w:val="1A1A1A"/>
                <w:sz w:val="20"/>
              </w:rPr>
              <w:t>财产险巨灾再保险</w:t>
            </w:r>
          </w:p>
        </w:tc>
        <w:tc>
          <w:tcPr>
            <w:tcW w:type="dxa" w:w="3120"/>
          </w:tcPr>
          <w:p>
            <w:r>
              <w:rPr>
                <w:rFonts w:ascii="Arial" w:hAnsi="Arial"/>
                <w:color w:val="1A1A1A"/>
                <w:sz w:val="20"/>
              </w:rPr>
              <w:t>慕再、瑞再、中再、太平再</w:t>
            </w:r>
          </w:p>
        </w:tc>
        <w:tc>
          <w:tcPr>
            <w:tcW w:type="dxa" w:w="3120"/>
          </w:tcPr>
          <w:p>
            <w:r>
              <w:rPr>
                <w:rFonts w:ascii="Arial" w:hAnsi="Arial"/>
                <w:color w:val="1A1A1A"/>
                <w:sz w:val="20"/>
              </w:rPr>
              <w:t>依赖巨灾模型能力，技术壁垒最高</w:t>
            </w:r>
          </w:p>
        </w:tc>
      </w:tr>
      <w:tr>
        <w:tc>
          <w:tcPr>
            <w:tcW w:type="dxa" w:w="3120"/>
            <w:shd w:fill="F8F9FA"/>
          </w:tcPr>
          <w:p>
            <w:r>
              <w:rPr>
                <w:rFonts w:ascii="Arial" w:hAnsi="Arial"/>
                <w:b/>
                <w:color w:val="1A1A1A"/>
                <w:sz w:val="20"/>
              </w:rPr>
              <w:t>寿险再保险（重疾/医疗）</w:t>
            </w:r>
          </w:p>
        </w:tc>
        <w:tc>
          <w:tcPr>
            <w:tcW w:type="dxa" w:w="3120"/>
            <w:shd w:fill="F8F9FA"/>
          </w:tcPr>
          <w:p>
            <w:r>
              <w:rPr>
                <w:rFonts w:ascii="Arial" w:hAnsi="Arial"/>
                <w:color w:val="1A1A1A"/>
                <w:sz w:val="20"/>
              </w:rPr>
              <w:t>汉诺威再、瑞再、中再寿险</w:t>
            </w:r>
          </w:p>
        </w:tc>
        <w:tc>
          <w:tcPr>
            <w:tcW w:type="dxa" w:w="3120"/>
            <w:shd w:fill="F8F9FA"/>
          </w:tcPr>
          <w:p>
            <w:r>
              <w:rPr>
                <w:rFonts w:ascii="Arial" w:hAnsi="Arial"/>
                <w:color w:val="1A1A1A"/>
                <w:sz w:val="20"/>
              </w:rPr>
              <w:t>精算定价能力为核心，数字化转型加速</w:t>
            </w:r>
          </w:p>
        </w:tc>
      </w:tr>
      <w:tr>
        <w:tc>
          <w:tcPr>
            <w:tcW w:type="dxa" w:w="3120"/>
          </w:tcPr>
          <w:p>
            <w:r>
              <w:rPr>
                <w:rFonts w:ascii="Arial" w:hAnsi="Arial"/>
                <w:b/>
                <w:color w:val="1A1A1A"/>
                <w:sz w:val="20"/>
              </w:rPr>
              <w:t>一带一路/海外特殊风险</w:t>
            </w:r>
          </w:p>
        </w:tc>
        <w:tc>
          <w:tcPr>
            <w:tcW w:type="dxa" w:w="3120"/>
          </w:tcPr>
          <w:p>
            <w:r>
              <w:rPr>
                <w:rFonts w:ascii="Arial" w:hAnsi="Arial"/>
                <w:color w:val="1A1A1A"/>
                <w:sz w:val="20"/>
              </w:rPr>
              <w:t>中再（绝对领先）、慕再、太平再</w:t>
            </w:r>
          </w:p>
        </w:tc>
        <w:tc>
          <w:tcPr>
            <w:tcW w:type="dxa" w:w="3120"/>
          </w:tcPr>
          <w:p>
            <w:r>
              <w:rPr>
                <w:rFonts w:ascii="Arial" w:hAnsi="Arial"/>
                <w:color w:val="1A1A1A"/>
                <w:sz w:val="20"/>
              </w:rPr>
              <w:t>政策性驱动，政治风险保障能力是关键</w:t>
            </w:r>
          </w:p>
        </w:tc>
      </w:tr>
      <w:tr>
        <w:tc>
          <w:tcPr>
            <w:tcW w:type="dxa" w:w="3120"/>
            <w:shd w:fill="F8F9FA"/>
          </w:tcPr>
          <w:p>
            <w:r>
              <w:rPr>
                <w:rFonts w:ascii="Arial" w:hAnsi="Arial"/>
                <w:b/>
                <w:color w:val="1A1A1A"/>
                <w:sz w:val="20"/>
              </w:rPr>
              <w:t>农业再保险</w:t>
            </w:r>
          </w:p>
        </w:tc>
        <w:tc>
          <w:tcPr>
            <w:tcW w:type="dxa" w:w="3120"/>
            <w:shd w:fill="F8F9FA"/>
          </w:tcPr>
          <w:p>
            <w:r>
              <w:rPr>
                <w:rFonts w:ascii="Arial" w:hAnsi="Arial"/>
                <w:color w:val="1A1A1A"/>
                <w:sz w:val="20"/>
              </w:rPr>
              <w:t>中再产险、瑞再、人保再、慕再</w:t>
            </w:r>
          </w:p>
        </w:tc>
        <w:tc>
          <w:tcPr>
            <w:tcW w:type="dxa" w:w="3120"/>
            <w:shd w:fill="F8F9FA"/>
          </w:tcPr>
          <w:p>
            <w:r>
              <w:rPr>
                <w:rFonts w:ascii="Arial" w:hAnsi="Arial"/>
                <w:color w:val="1A1A1A"/>
                <w:sz w:val="20"/>
              </w:rPr>
              <w:t>政策性业务，数据分析能力决定竞争力</w:t>
            </w:r>
          </w:p>
        </w:tc>
      </w:tr>
      <w:tr>
        <w:tc>
          <w:tcPr>
            <w:tcW w:type="dxa" w:w="3120"/>
          </w:tcPr>
          <w:p>
            <w:r>
              <w:rPr>
                <w:rFonts w:ascii="Arial" w:hAnsi="Arial"/>
                <w:b/>
                <w:color w:val="1A1A1A"/>
                <w:sz w:val="20"/>
              </w:rPr>
              <w:t>绿色保险/新能源</w:t>
            </w:r>
          </w:p>
        </w:tc>
        <w:tc>
          <w:tcPr>
            <w:tcW w:type="dxa" w:w="3120"/>
          </w:tcPr>
          <w:p>
            <w:r>
              <w:rPr>
                <w:rFonts w:ascii="Arial" w:hAnsi="Arial"/>
                <w:color w:val="1A1A1A"/>
                <w:sz w:val="20"/>
              </w:rPr>
              <w:t>慕再、中再、瑞再</w:t>
            </w:r>
          </w:p>
        </w:tc>
        <w:tc>
          <w:tcPr>
            <w:tcW w:type="dxa" w:w="3120"/>
          </w:tcPr>
          <w:p>
            <w:r>
              <w:rPr>
                <w:rFonts w:ascii="Arial" w:hAnsi="Arial"/>
                <w:color w:val="1A1A1A"/>
                <w:sz w:val="20"/>
              </w:rPr>
              <w:t>新兴领域，先发优势重要</w:t>
            </w:r>
          </w:p>
        </w:tc>
      </w:tr>
      <w:tr>
        <w:tc>
          <w:tcPr>
            <w:tcW w:type="dxa" w:w="3120"/>
            <w:shd w:fill="F8F9FA"/>
          </w:tcPr>
          <w:p>
            <w:r>
              <w:rPr>
                <w:rFonts w:ascii="Arial" w:hAnsi="Arial"/>
                <w:b/>
                <w:color w:val="1A1A1A"/>
                <w:sz w:val="20"/>
              </w:rPr>
              <w:t>科技创新保险</w:t>
            </w:r>
          </w:p>
        </w:tc>
        <w:tc>
          <w:tcPr>
            <w:tcW w:type="dxa" w:w="3120"/>
            <w:shd w:fill="F8F9FA"/>
          </w:tcPr>
          <w:p>
            <w:r>
              <w:rPr>
                <w:rFonts w:ascii="Arial" w:hAnsi="Arial"/>
                <w:color w:val="1A1A1A"/>
                <w:sz w:val="20"/>
              </w:rPr>
              <w:t>前海再、慕再、中再</w:t>
            </w:r>
          </w:p>
        </w:tc>
        <w:tc>
          <w:tcPr>
            <w:tcW w:type="dxa" w:w="3120"/>
            <w:shd w:fill="F8F9FA"/>
          </w:tcPr>
          <w:p>
            <w:r>
              <w:rPr>
                <w:rFonts w:ascii="Arial" w:hAnsi="Arial"/>
                <w:color w:val="1A1A1A"/>
                <w:sz w:val="20"/>
              </w:rPr>
              <w:t>需求方兴未艾，产品标准尚未形成</w:t>
            </w:r>
          </w:p>
        </w:tc>
      </w:tr>
    </w:tbl>
    <w:p/>
    <w:p>
      <w:pPr>
        <w:spacing w:before="240" w:after="120"/>
      </w:pPr>
      <w:r>
        <w:rPr>
          <w:rFonts w:ascii="Arial" w:hAnsi="Arial" w:eastAsia="Arial"/>
          <w:b/>
          <w:color w:val="7F8C8D"/>
          <w:sz w:val="30"/>
        </w:rPr>
        <w:t>3.4 未来1-3年各公司策略总结</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2C3E50"/>
          </w:tcPr>
          <w:p>
            <w:pPr>
              <w:jc w:val="center"/>
            </w:pPr>
            <w:r>
              <w:rPr>
                <w:rFonts w:ascii="Arial" w:hAnsi="Arial"/>
                <w:b/>
                <w:color w:val="FFFFFF"/>
                <w:sz w:val="22"/>
              </w:rPr>
              <w:t>公司</w:t>
            </w:r>
          </w:p>
        </w:tc>
        <w:tc>
          <w:tcPr>
            <w:tcW w:type="dxa" w:w="2340"/>
            <w:shd w:fill="2C3E50"/>
          </w:tcPr>
          <w:p>
            <w:pPr>
              <w:jc w:val="center"/>
            </w:pPr>
            <w:r>
              <w:rPr>
                <w:rFonts w:ascii="Arial" w:hAnsi="Arial"/>
                <w:b/>
                <w:color w:val="FFFFFF"/>
                <w:sz w:val="22"/>
              </w:rPr>
              <w:t>总体策略</w:t>
            </w:r>
          </w:p>
        </w:tc>
        <w:tc>
          <w:tcPr>
            <w:tcW w:type="dxa" w:w="2340"/>
            <w:shd w:fill="2C3E50"/>
          </w:tcPr>
          <w:p>
            <w:pPr>
              <w:jc w:val="center"/>
            </w:pPr>
            <w:r>
              <w:rPr>
                <w:rFonts w:ascii="Arial" w:hAnsi="Arial"/>
                <w:b/>
                <w:color w:val="FFFFFF"/>
                <w:sz w:val="22"/>
              </w:rPr>
              <w:t>核心关键词</w:t>
            </w:r>
          </w:p>
        </w:tc>
        <w:tc>
          <w:tcPr>
            <w:tcW w:type="dxa" w:w="2340"/>
            <w:shd w:fill="2C3E50"/>
          </w:tcPr>
          <w:p>
            <w:pPr>
              <w:jc w:val="center"/>
            </w:pPr>
            <w:r>
              <w:rPr>
                <w:rFonts w:ascii="Arial" w:hAnsi="Arial"/>
                <w:b/>
                <w:color w:val="FFFFFF"/>
                <w:sz w:val="22"/>
              </w:rPr>
              <w:t>主要增长驱动</w:t>
            </w:r>
          </w:p>
        </w:tc>
      </w:tr>
      <w:tr>
        <w:tc>
          <w:tcPr>
            <w:tcW w:type="dxa" w:w="2340"/>
          </w:tcPr>
          <w:p>
            <w:r>
              <w:rPr>
                <w:rFonts w:ascii="Arial" w:hAnsi="Arial"/>
                <w:b/>
                <w:color w:val="1A1A1A"/>
                <w:sz w:val="20"/>
              </w:rPr>
              <w:t>中再集团</w:t>
            </w:r>
          </w:p>
        </w:tc>
        <w:tc>
          <w:tcPr>
            <w:tcW w:type="dxa" w:w="2340"/>
          </w:tcPr>
          <w:p>
            <w:r>
              <w:rPr>
                <w:rFonts w:ascii="Arial" w:hAnsi="Arial"/>
                <w:color w:val="1A1A1A"/>
                <w:sz w:val="20"/>
              </w:rPr>
              <w:t>"全球化+科技化"双轮驱动</w:t>
            </w:r>
          </w:p>
        </w:tc>
        <w:tc>
          <w:tcPr>
            <w:tcW w:type="dxa" w:w="2340"/>
          </w:tcPr>
          <w:p>
            <w:r>
              <w:rPr>
                <w:rFonts w:ascii="Arial" w:hAnsi="Arial"/>
                <w:color w:val="1A1A1A"/>
                <w:sz w:val="20"/>
              </w:rPr>
              <w:t>国家队、国际标准、一带一路</w:t>
            </w:r>
          </w:p>
        </w:tc>
        <w:tc>
          <w:tcPr>
            <w:tcW w:type="dxa" w:w="2340"/>
          </w:tcPr>
          <w:p>
            <w:r>
              <w:rPr>
                <w:rFonts w:ascii="Arial" w:hAnsi="Arial"/>
                <w:color w:val="1A1A1A"/>
                <w:sz w:val="20"/>
              </w:rPr>
              <w:t>海外扩张、核保险、政策性业务</w:t>
            </w:r>
          </w:p>
        </w:tc>
      </w:tr>
      <w:tr>
        <w:tc>
          <w:tcPr>
            <w:tcW w:type="dxa" w:w="2340"/>
            <w:shd w:fill="F8F9FA"/>
          </w:tcPr>
          <w:p>
            <w:r>
              <w:rPr>
                <w:rFonts w:ascii="Arial" w:hAnsi="Arial"/>
                <w:b/>
                <w:color w:val="1A1A1A"/>
                <w:sz w:val="20"/>
              </w:rPr>
              <w:t>太平再保险</w:t>
            </w:r>
          </w:p>
        </w:tc>
        <w:tc>
          <w:tcPr>
            <w:tcW w:type="dxa" w:w="2340"/>
            <w:shd w:fill="F8F9FA"/>
          </w:tcPr>
          <w:p>
            <w:r>
              <w:rPr>
                <w:rFonts w:ascii="Arial" w:hAnsi="Arial"/>
                <w:color w:val="1A1A1A"/>
                <w:sz w:val="20"/>
              </w:rPr>
              <w:t>区域聚焦+跨境联动</w:t>
            </w:r>
          </w:p>
        </w:tc>
        <w:tc>
          <w:tcPr>
            <w:tcW w:type="dxa" w:w="2340"/>
            <w:shd w:fill="F8F9FA"/>
          </w:tcPr>
          <w:p>
            <w:r>
              <w:rPr>
                <w:rFonts w:ascii="Arial" w:hAnsi="Arial"/>
                <w:color w:val="1A1A1A"/>
                <w:sz w:val="20"/>
              </w:rPr>
              <w:t>大湾区、东南亚、跨境服务</w:t>
            </w:r>
          </w:p>
        </w:tc>
        <w:tc>
          <w:tcPr>
            <w:tcW w:type="dxa" w:w="2340"/>
            <w:shd w:fill="F8F9FA"/>
          </w:tcPr>
          <w:p>
            <w:r>
              <w:rPr>
                <w:rFonts w:ascii="Arial" w:hAnsi="Arial"/>
                <w:color w:val="1A1A1A"/>
                <w:sz w:val="20"/>
              </w:rPr>
              <w:t>区域扩张、集团协同</w:t>
            </w:r>
          </w:p>
        </w:tc>
      </w:tr>
      <w:tr>
        <w:tc>
          <w:tcPr>
            <w:tcW w:type="dxa" w:w="2340"/>
          </w:tcPr>
          <w:p>
            <w:r>
              <w:rPr>
                <w:rFonts w:ascii="Arial" w:hAnsi="Arial"/>
                <w:b/>
                <w:color w:val="1A1A1A"/>
                <w:sz w:val="20"/>
              </w:rPr>
              <w:t>人保再保险</w:t>
            </w:r>
          </w:p>
        </w:tc>
        <w:tc>
          <w:tcPr>
            <w:tcW w:type="dxa" w:w="2340"/>
          </w:tcPr>
          <w:p>
            <w:r>
              <w:rPr>
                <w:rFonts w:ascii="Arial" w:hAnsi="Arial"/>
                <w:color w:val="1A1A1A"/>
                <w:sz w:val="20"/>
              </w:rPr>
              <w:t>内部协同+稳步拓展</w:t>
            </w:r>
          </w:p>
        </w:tc>
        <w:tc>
          <w:tcPr>
            <w:tcW w:type="dxa" w:w="2340"/>
          </w:tcPr>
          <w:p>
            <w:r>
              <w:rPr>
                <w:rFonts w:ascii="Arial" w:hAnsi="Arial"/>
                <w:color w:val="1A1A1A"/>
                <w:sz w:val="20"/>
              </w:rPr>
              <w:t>集团内部、农险、市场化</w:t>
            </w:r>
          </w:p>
        </w:tc>
        <w:tc>
          <w:tcPr>
            <w:tcW w:type="dxa" w:w="2340"/>
          </w:tcPr>
          <w:p>
            <w:r>
              <w:rPr>
                <w:rFonts w:ascii="Arial" w:hAnsi="Arial"/>
                <w:color w:val="1A1A1A"/>
                <w:sz w:val="20"/>
              </w:rPr>
              <w:t>集团资源转化、农险再保</w:t>
            </w:r>
          </w:p>
        </w:tc>
      </w:tr>
      <w:tr>
        <w:tc>
          <w:tcPr>
            <w:tcW w:type="dxa" w:w="2340"/>
            <w:shd w:fill="F8F9FA"/>
          </w:tcPr>
          <w:p>
            <w:r>
              <w:rPr>
                <w:rFonts w:ascii="Arial" w:hAnsi="Arial"/>
                <w:b/>
                <w:color w:val="1A1A1A"/>
                <w:sz w:val="20"/>
              </w:rPr>
              <w:t>慕尼黑再保险（中国）</w:t>
            </w:r>
          </w:p>
        </w:tc>
        <w:tc>
          <w:tcPr>
            <w:tcW w:type="dxa" w:w="2340"/>
            <w:shd w:fill="F8F9FA"/>
          </w:tcPr>
          <w:p>
            <w:r>
              <w:rPr>
                <w:rFonts w:ascii="Arial" w:hAnsi="Arial"/>
                <w:color w:val="1A1A1A"/>
                <w:sz w:val="20"/>
              </w:rPr>
              <w:t>技术输出+绿色创新</w:t>
            </w:r>
          </w:p>
        </w:tc>
        <w:tc>
          <w:tcPr>
            <w:tcW w:type="dxa" w:w="2340"/>
            <w:shd w:fill="F8F9FA"/>
          </w:tcPr>
          <w:p>
            <w:r>
              <w:rPr>
                <w:rFonts w:ascii="Arial" w:hAnsi="Arial"/>
                <w:color w:val="1A1A1A"/>
                <w:sz w:val="20"/>
              </w:rPr>
              <w:t>巨灾模型、绿色保险、ILS</w:t>
            </w:r>
          </w:p>
        </w:tc>
        <w:tc>
          <w:tcPr>
            <w:tcW w:type="dxa" w:w="2340"/>
            <w:shd w:fill="F8F9FA"/>
          </w:tcPr>
          <w:p>
            <w:r>
              <w:rPr>
                <w:rFonts w:ascii="Arial" w:hAnsi="Arial"/>
                <w:color w:val="1A1A1A"/>
                <w:sz w:val="20"/>
              </w:rPr>
              <w:t>全球化技术本地化、巨灾/绿色</w:t>
            </w:r>
          </w:p>
        </w:tc>
      </w:tr>
      <w:tr>
        <w:tc>
          <w:tcPr>
            <w:tcW w:type="dxa" w:w="2340"/>
          </w:tcPr>
          <w:p>
            <w:r>
              <w:rPr>
                <w:rFonts w:ascii="Arial" w:hAnsi="Arial"/>
                <w:b/>
                <w:color w:val="1A1A1A"/>
                <w:sz w:val="20"/>
              </w:rPr>
              <w:t>瑞士再保险（中国）</w:t>
            </w:r>
          </w:p>
        </w:tc>
        <w:tc>
          <w:tcPr>
            <w:tcW w:type="dxa" w:w="2340"/>
          </w:tcPr>
          <w:p>
            <w:r>
              <w:rPr>
                <w:rFonts w:ascii="Arial" w:hAnsi="Arial"/>
                <w:color w:val="1A1A1A"/>
                <w:sz w:val="20"/>
              </w:rPr>
              <w:t>数据驱动+农险深耕</w:t>
            </w:r>
          </w:p>
        </w:tc>
        <w:tc>
          <w:tcPr>
            <w:tcW w:type="dxa" w:w="2340"/>
          </w:tcPr>
          <w:p>
            <w:r>
              <w:rPr>
                <w:rFonts w:ascii="Arial" w:hAnsi="Arial"/>
                <w:color w:val="1A1A1A"/>
                <w:sz w:val="20"/>
              </w:rPr>
              <w:t>sigma研究、参数化、健康险</w:t>
            </w:r>
          </w:p>
        </w:tc>
        <w:tc>
          <w:tcPr>
            <w:tcW w:type="dxa" w:w="2340"/>
          </w:tcPr>
          <w:p>
            <w:r>
              <w:rPr>
                <w:rFonts w:ascii="Arial" w:hAnsi="Arial"/>
                <w:color w:val="1A1A1A"/>
                <w:sz w:val="20"/>
              </w:rPr>
              <w:t>风险咨询+农险、寿险创新</w:t>
            </w:r>
          </w:p>
        </w:tc>
      </w:tr>
      <w:tr>
        <w:tc>
          <w:tcPr>
            <w:tcW w:type="dxa" w:w="2340"/>
            <w:shd w:fill="F8F9FA"/>
          </w:tcPr>
          <w:p>
            <w:r>
              <w:rPr>
                <w:rFonts w:ascii="Arial" w:hAnsi="Arial"/>
                <w:b/>
                <w:color w:val="1A1A1A"/>
                <w:sz w:val="20"/>
              </w:rPr>
              <w:t>汉诺威再保险（中国）</w:t>
            </w:r>
          </w:p>
        </w:tc>
        <w:tc>
          <w:tcPr>
            <w:tcW w:type="dxa" w:w="2340"/>
            <w:shd w:fill="F8F9FA"/>
          </w:tcPr>
          <w:p>
            <w:r>
              <w:rPr>
                <w:rFonts w:ascii="Arial" w:hAnsi="Arial"/>
                <w:color w:val="1A1A1A"/>
                <w:sz w:val="20"/>
              </w:rPr>
              <w:t>专业深耕+数字化</w:t>
            </w:r>
          </w:p>
        </w:tc>
        <w:tc>
          <w:tcPr>
            <w:tcW w:type="dxa" w:w="2340"/>
            <w:shd w:fill="F8F9FA"/>
          </w:tcPr>
          <w:p>
            <w:r>
              <w:rPr>
                <w:rFonts w:ascii="Arial" w:hAnsi="Arial"/>
                <w:color w:val="1A1A1A"/>
                <w:sz w:val="20"/>
              </w:rPr>
              <w:t>寿险再保险、数字化核保</w:t>
            </w:r>
          </w:p>
        </w:tc>
        <w:tc>
          <w:tcPr>
            <w:tcW w:type="dxa" w:w="2340"/>
            <w:shd w:fill="F8F9FA"/>
          </w:tcPr>
          <w:p>
            <w:r>
              <w:rPr>
                <w:rFonts w:ascii="Arial" w:hAnsi="Arial"/>
                <w:color w:val="1A1A1A"/>
                <w:sz w:val="20"/>
              </w:rPr>
              <w:t>保障型寿险、IFRS17机遇</w:t>
            </w:r>
          </w:p>
        </w:tc>
      </w:tr>
      <w:tr>
        <w:tc>
          <w:tcPr>
            <w:tcW w:type="dxa" w:w="2340"/>
          </w:tcPr>
          <w:p>
            <w:r>
              <w:rPr>
                <w:rFonts w:ascii="Arial" w:hAnsi="Arial"/>
                <w:b/>
                <w:color w:val="1A1A1A"/>
                <w:sz w:val="20"/>
              </w:rPr>
              <w:t>前海再保险</w:t>
            </w:r>
          </w:p>
        </w:tc>
        <w:tc>
          <w:tcPr>
            <w:tcW w:type="dxa" w:w="2340"/>
          </w:tcPr>
          <w:p>
            <w:r>
              <w:rPr>
                <w:rFonts w:ascii="Arial" w:hAnsi="Arial"/>
                <w:color w:val="1A1A1A"/>
                <w:sz w:val="20"/>
              </w:rPr>
              <w:t>差异化+科技赋能</w:t>
            </w:r>
          </w:p>
        </w:tc>
        <w:tc>
          <w:tcPr>
            <w:tcW w:type="dxa" w:w="2340"/>
          </w:tcPr>
          <w:p>
            <w:r>
              <w:rPr>
                <w:rFonts w:ascii="Arial" w:hAnsi="Arial"/>
                <w:color w:val="1A1A1A"/>
                <w:sz w:val="20"/>
              </w:rPr>
              <w:t>中小险企、普惠、大湾区</w:t>
            </w:r>
          </w:p>
        </w:tc>
        <w:tc>
          <w:tcPr>
            <w:tcW w:type="dxa" w:w="2340"/>
          </w:tcPr>
          <w:p>
            <w:r>
              <w:rPr>
                <w:rFonts w:ascii="Arial" w:hAnsi="Arial"/>
                <w:color w:val="1A1A1A"/>
                <w:sz w:val="20"/>
              </w:rPr>
              <w:t>差异化服务、互联网保险</w:t>
            </w:r>
          </w:p>
        </w:tc>
      </w:tr>
    </w:tbl>
    <w:p/>
    <w:p>
      <w:pPr>
        <w:spacing w:before="120" w:after="120"/>
      </w:pPr>
      <w:r>
        <w:rPr>
          <w:color w:val="7F8C8D"/>
          <w:sz w:val="16"/>
        </w:rPr>
        <w:t>━━━━━━━━━━━━━━━━━━━━━━━━━━━━━━━━━━━━━━━━━━━━━━━━━━━━━━━━━━━━</w:t>
      </w:r>
    </w:p>
    <w:p>
      <w:pPr>
        <w:pBdr>
          <w:bottom w:val="single" w:sz="6" w:space="4" w:color="2C3E50"/>
        </w:pBdr>
        <w:spacing w:before="360" w:after="160"/>
      </w:pPr>
      <w:r>
        <w:rPr>
          <w:rFonts w:ascii="Arial" w:hAnsi="Arial" w:eastAsia="Arial"/>
          <w:b/>
          <w:color w:val="2C3E50"/>
          <w:sz w:val="36"/>
        </w:rPr>
        <w:t>四、关键战略洞察</w:t>
      </w:r>
    </w:p>
    <w:p>
      <w:pPr>
        <w:spacing w:before="240" w:after="120"/>
      </w:pPr>
      <w:r>
        <w:rPr>
          <w:rFonts w:ascii="Arial" w:hAnsi="Arial" w:eastAsia="Arial"/>
          <w:b/>
          <w:color w:val="7F8C8D"/>
          <w:sz w:val="30"/>
        </w:rPr>
        <w:t>4.1 中再集团的战略启示</w:t>
      </w:r>
    </w:p>
    <w:p>
      <w:pPr>
        <w:spacing w:before="40" w:after="40"/>
        <w:ind w:left="567" w:hanging="283"/>
      </w:pPr>
      <w:r>
        <w:rPr>
          <w:rFonts w:ascii="Arial" w:hAnsi="Arial"/>
          <w:b/>
          <w:color w:val="2C3E50"/>
          <w:sz w:val="22"/>
        </w:rPr>
        <w:t xml:space="preserve">• </w:t>
      </w:r>
      <w:r>
        <w:rPr>
          <w:rFonts w:ascii="Arial" w:hAnsi="Arial"/>
          <w:b/>
          <w:color w:val="1A1A1A"/>
          <w:sz w:val="22"/>
        </w:rPr>
        <w:t>"五个突破"</w:t>
      </w:r>
      <w:r>
        <w:rPr>
          <w:rFonts w:ascii="Arial" w:hAnsi="Arial"/>
          <w:color w:val="1A1A1A"/>
          <w:sz w:val="22"/>
        </w:rPr>
        <w:t xml:space="preserve"> 战略（2026年工作会议）表明中再正从传统再保险向 </w:t>
      </w:r>
      <w:r>
        <w:rPr>
          <w:rFonts w:ascii="Arial" w:hAnsi="Arial"/>
          <w:b/>
          <w:color w:val="1A1A1A"/>
          <w:sz w:val="22"/>
        </w:rPr>
        <w:t>"保险+科技+服务"综合方案</w:t>
      </w:r>
      <w:r>
        <w:rPr>
          <w:rFonts w:ascii="Arial" w:hAnsi="Arial"/>
          <w:color w:val="1A1A1A"/>
          <w:sz w:val="22"/>
        </w:rPr>
        <w:t xml:space="preserve"> 转型</w:t>
      </w:r>
    </w:p>
    <w:p>
      <w:pPr>
        <w:spacing w:before="40" w:after="40"/>
        <w:ind w:left="567" w:hanging="283"/>
      </w:pPr>
      <w:r>
        <w:rPr>
          <w:rFonts w:ascii="Arial" w:hAnsi="Arial"/>
          <w:b/>
          <w:color w:val="2C3E50"/>
          <w:sz w:val="22"/>
        </w:rPr>
        <w:t xml:space="preserve">• </w:t>
      </w:r>
      <w:r>
        <w:rPr>
          <w:rFonts w:ascii="Arial" w:hAnsi="Arial"/>
          <w:color w:val="1A1A1A"/>
          <w:sz w:val="22"/>
        </w:rPr>
        <w:t>国际化是核心增长引擎，海外业务占比持续提升，目标瞄准国际核保险和一带一路特殊风险</w:t>
      </w:r>
    </w:p>
    <w:p>
      <w:pPr>
        <w:spacing w:before="40" w:after="40"/>
        <w:ind w:left="567" w:hanging="283"/>
      </w:pPr>
      <w:r>
        <w:rPr>
          <w:rFonts w:ascii="Arial" w:hAnsi="Arial"/>
          <w:b/>
          <w:color w:val="2C3E50"/>
          <w:sz w:val="22"/>
        </w:rPr>
        <w:t xml:space="preserve">• </w:t>
      </w:r>
      <w:r>
        <w:rPr>
          <w:rFonts w:ascii="Arial" w:hAnsi="Arial"/>
          <w:b/>
          <w:color w:val="1A1A1A"/>
          <w:sz w:val="22"/>
        </w:rPr>
        <w:t>数字化转型</w:t>
      </w:r>
      <w:r>
        <w:rPr>
          <w:rFonts w:ascii="Arial" w:hAnsi="Arial"/>
          <w:color w:val="1A1A1A"/>
          <w:sz w:val="22"/>
        </w:rPr>
        <w:t xml:space="preserve"> 和 </w:t>
      </w:r>
      <w:r>
        <w:rPr>
          <w:rFonts w:ascii="Arial" w:hAnsi="Arial"/>
          <w:b/>
          <w:color w:val="1A1A1A"/>
          <w:sz w:val="22"/>
        </w:rPr>
        <w:t>业务模式转型</w:t>
      </w:r>
      <w:r>
        <w:rPr>
          <w:rFonts w:ascii="Arial" w:hAnsi="Arial"/>
          <w:color w:val="1A1A1A"/>
          <w:sz w:val="22"/>
        </w:rPr>
        <w:t xml:space="preserve"> 并列，体现科技在战略中的核心地位</w:t>
      </w:r>
    </w:p>
    <w:p>
      <w:pPr>
        <w:spacing w:before="40" w:after="40"/>
        <w:ind w:left="567" w:hanging="283"/>
      </w:pPr>
      <w:r>
        <w:rPr>
          <w:rFonts w:ascii="Arial" w:hAnsi="Arial"/>
          <w:b/>
          <w:color w:val="2C3E50"/>
          <w:sz w:val="22"/>
        </w:rPr>
        <w:t xml:space="preserve">• </w:t>
      </w:r>
      <w:r>
        <w:rPr>
          <w:rFonts w:ascii="Arial" w:hAnsi="Arial"/>
          <w:color w:val="1A1A1A"/>
          <w:sz w:val="22"/>
        </w:rPr>
        <w:t xml:space="preserve">海外所有经营平台均实现承保盈利，国际化进入 </w:t>
      </w:r>
      <w:r>
        <w:rPr>
          <w:rFonts w:ascii="Arial" w:hAnsi="Arial"/>
          <w:b/>
          <w:color w:val="1A1A1A"/>
          <w:sz w:val="22"/>
        </w:rPr>
        <w:t>"收获期"</w:t>
      </w:r>
      <w:r>
        <w:rPr>
          <w:rFonts w:ascii="Arial" w:hAnsi="Arial"/>
          <w:color w:val="1A1A1A"/>
          <w:sz w:val="22"/>
        </w:rPr>
        <w:t>而非单纯投入期</w:t>
      </w:r>
    </w:p>
    <w:p>
      <w:pPr>
        <w:spacing w:before="240" w:after="120"/>
      </w:pPr>
      <w:r>
        <w:rPr>
          <w:rFonts w:ascii="Arial" w:hAnsi="Arial" w:eastAsia="Arial"/>
          <w:b/>
          <w:color w:val="7F8C8D"/>
          <w:sz w:val="30"/>
        </w:rPr>
        <w:t>4.2 外资再保险的战略启示</w:t>
      </w:r>
    </w:p>
    <w:p>
      <w:pPr>
        <w:spacing w:before="40" w:after="40"/>
        <w:ind w:left="567" w:hanging="283"/>
      </w:pPr>
      <w:r>
        <w:rPr>
          <w:rFonts w:ascii="Arial" w:hAnsi="Arial"/>
          <w:b/>
          <w:color w:val="2C3E50"/>
          <w:sz w:val="22"/>
        </w:rPr>
        <w:t xml:space="preserve">• </w:t>
      </w:r>
      <w:r>
        <w:rPr>
          <w:rFonts w:ascii="Arial" w:hAnsi="Arial"/>
          <w:b/>
          <w:color w:val="1A1A1A"/>
          <w:sz w:val="22"/>
        </w:rPr>
        <w:t>技术输出</w:t>
      </w:r>
      <w:r>
        <w:rPr>
          <w:rFonts w:ascii="Arial" w:hAnsi="Arial"/>
          <w:color w:val="1A1A1A"/>
          <w:sz w:val="22"/>
        </w:rPr>
        <w:t xml:space="preserve"> 是外资再保险在华竞争的核心武器（巨灾模型、精算工具、风控系统）</w:t>
      </w:r>
    </w:p>
    <w:p>
      <w:pPr>
        <w:spacing w:before="40" w:after="40"/>
        <w:ind w:left="567" w:hanging="283"/>
      </w:pPr>
      <w:r>
        <w:rPr>
          <w:rFonts w:ascii="Arial" w:hAnsi="Arial"/>
          <w:b/>
          <w:color w:val="2C3E50"/>
          <w:sz w:val="22"/>
        </w:rPr>
        <w:t xml:space="preserve">• </w:t>
      </w:r>
      <w:r>
        <w:rPr>
          <w:rFonts w:ascii="Arial" w:hAnsi="Arial"/>
          <w:b/>
          <w:color w:val="1A1A1A"/>
          <w:sz w:val="22"/>
        </w:rPr>
        <w:t>绿色保险</w:t>
      </w:r>
      <w:r>
        <w:rPr>
          <w:rFonts w:ascii="Arial" w:hAnsi="Arial"/>
          <w:color w:val="1A1A1A"/>
          <w:sz w:val="22"/>
        </w:rPr>
        <w:t xml:space="preserve"> 和 </w:t>
      </w:r>
      <w:r>
        <w:rPr>
          <w:rFonts w:ascii="Arial" w:hAnsi="Arial"/>
          <w:b/>
          <w:color w:val="1A1A1A"/>
          <w:sz w:val="22"/>
        </w:rPr>
        <w:t>气候变化风险</w:t>
      </w:r>
      <w:r>
        <w:rPr>
          <w:rFonts w:ascii="Arial" w:hAnsi="Arial"/>
          <w:color w:val="1A1A1A"/>
          <w:sz w:val="22"/>
        </w:rPr>
        <w:t>成为新的竞争焦点</w:t>
      </w:r>
    </w:p>
    <w:p>
      <w:pPr>
        <w:spacing w:before="40" w:after="40"/>
        <w:ind w:left="567" w:hanging="283"/>
      </w:pPr>
      <w:r>
        <w:rPr>
          <w:rFonts w:ascii="Arial" w:hAnsi="Arial"/>
          <w:b/>
          <w:color w:val="2C3E50"/>
          <w:sz w:val="22"/>
        </w:rPr>
        <w:t xml:space="preserve">• </w:t>
      </w:r>
      <w:r>
        <w:rPr>
          <w:rFonts w:ascii="Arial" w:hAnsi="Arial"/>
          <w:color w:val="1A1A1A"/>
          <w:sz w:val="22"/>
        </w:rPr>
        <w:t xml:space="preserve">外资头部机构积极参与中国 </w:t>
      </w:r>
      <w:r>
        <w:rPr>
          <w:rFonts w:ascii="Arial" w:hAnsi="Arial"/>
          <w:b/>
          <w:color w:val="1A1A1A"/>
          <w:sz w:val="22"/>
        </w:rPr>
        <w:t>政策性再保险</w:t>
      </w:r>
      <w:r>
        <w:rPr>
          <w:rFonts w:ascii="Arial" w:hAnsi="Arial"/>
          <w:color w:val="1A1A1A"/>
          <w:sz w:val="22"/>
        </w:rPr>
        <w:t>（农业、巨灾），寻求本土化落地</w:t>
      </w:r>
    </w:p>
    <w:p>
      <w:pPr>
        <w:spacing w:before="40" w:after="40"/>
        <w:ind w:left="567" w:hanging="283"/>
      </w:pPr>
      <w:r>
        <w:rPr>
          <w:rFonts w:ascii="Arial" w:hAnsi="Arial"/>
          <w:b/>
          <w:color w:val="2C3E50"/>
          <w:sz w:val="22"/>
        </w:rPr>
        <w:t xml:space="preserve">• </w:t>
      </w:r>
      <w:r>
        <w:rPr>
          <w:rFonts w:ascii="Arial" w:hAnsi="Arial"/>
          <w:color w:val="1A1A1A"/>
          <w:sz w:val="22"/>
        </w:rPr>
        <w:t xml:space="preserve">IFRS17实施带来 </w:t>
      </w:r>
      <w:r>
        <w:rPr>
          <w:rFonts w:ascii="Arial" w:hAnsi="Arial"/>
          <w:b/>
          <w:color w:val="1A1A1A"/>
          <w:sz w:val="22"/>
        </w:rPr>
        <w:t>再保险技术咨询需求</w:t>
      </w:r>
      <w:r>
        <w:rPr>
          <w:rFonts w:ascii="Arial" w:hAnsi="Arial"/>
          <w:color w:val="1A1A1A"/>
          <w:sz w:val="22"/>
        </w:rPr>
        <w:t>，外资+中资均将受益</w:t>
      </w:r>
    </w:p>
    <w:p>
      <w:pPr>
        <w:spacing w:before="240" w:after="120"/>
      </w:pPr>
      <w:r>
        <w:rPr>
          <w:rFonts w:ascii="Arial" w:hAnsi="Arial" w:eastAsia="Arial"/>
          <w:b/>
          <w:color w:val="7F8C8D"/>
          <w:sz w:val="30"/>
        </w:rPr>
        <w:t>4.3 行业整体趋势</w:t>
      </w:r>
    </w:p>
    <w:p>
      <w:pPr>
        <w:spacing w:before="40" w:after="40"/>
        <w:ind w:left="567" w:hanging="283"/>
      </w:pPr>
      <w:r>
        <w:rPr>
          <w:rFonts w:ascii="Arial" w:hAnsi="Arial"/>
          <w:b/>
          <w:color w:val="2C3E50"/>
          <w:sz w:val="22"/>
        </w:rPr>
        <w:t xml:space="preserve">1. </w:t>
      </w:r>
      <w:r>
        <w:rPr>
          <w:rFonts w:ascii="Arial" w:hAnsi="Arial"/>
          <w:b/>
          <w:color w:val="1A1A1A"/>
          <w:sz w:val="22"/>
        </w:rPr>
        <w:t>再保险需求结构化增长</w:t>
      </w:r>
      <w:r>
        <w:rPr>
          <w:rFonts w:ascii="Arial" w:hAnsi="Arial"/>
          <w:color w:val="1A1A1A"/>
          <w:sz w:val="22"/>
        </w:rPr>
        <w:t>：新能源汽车、绿色能源、网络安全、长寿风险等新型风险驱动再保险需求增长</w:t>
      </w:r>
    </w:p>
    <w:p>
      <w:pPr>
        <w:spacing w:before="40" w:after="40"/>
        <w:ind w:left="567" w:hanging="283"/>
      </w:pPr>
      <w:r>
        <w:rPr>
          <w:rFonts w:ascii="Arial" w:hAnsi="Arial"/>
          <w:b/>
          <w:color w:val="2C3E50"/>
          <w:sz w:val="22"/>
        </w:rPr>
        <w:t xml:space="preserve">2. </w:t>
      </w:r>
      <w:r>
        <w:rPr>
          <w:rFonts w:ascii="Arial" w:hAnsi="Arial"/>
          <w:b/>
          <w:color w:val="1A1A1A"/>
          <w:sz w:val="22"/>
        </w:rPr>
        <w:t>资本管理精细化</w:t>
      </w:r>
      <w:r>
        <w:rPr>
          <w:rFonts w:ascii="Arial" w:hAnsi="Arial"/>
          <w:color w:val="1A1A1A"/>
          <w:sz w:val="22"/>
        </w:rPr>
        <w:t>：偿二代二期+IFRS17双重约束下，再保险安排从"财务工具"升级为"资本管理工具"</w:t>
      </w:r>
    </w:p>
    <w:p>
      <w:pPr>
        <w:spacing w:before="40" w:after="40"/>
        <w:ind w:left="567" w:hanging="283"/>
      </w:pPr>
      <w:r>
        <w:rPr>
          <w:rFonts w:ascii="Arial" w:hAnsi="Arial"/>
          <w:b/>
          <w:color w:val="2C3E50"/>
          <w:sz w:val="22"/>
        </w:rPr>
        <w:t xml:space="preserve">3. </w:t>
      </w:r>
      <w:r>
        <w:rPr>
          <w:rFonts w:ascii="Arial" w:hAnsi="Arial"/>
          <w:b/>
          <w:color w:val="1A1A1A"/>
          <w:sz w:val="22"/>
        </w:rPr>
        <w:t>数据资产化</w:t>
      </w:r>
      <w:r>
        <w:rPr>
          <w:rFonts w:ascii="Arial" w:hAnsi="Arial"/>
          <w:color w:val="1A1A1A"/>
          <w:sz w:val="22"/>
        </w:rPr>
        <w:t>：拥有优质数据和分析能力的再保险公司将在定价和承保中占据绝对优势</w:t>
      </w:r>
    </w:p>
    <w:p>
      <w:pPr>
        <w:spacing w:before="60" w:after="60"/>
        <w:jc w:val="left"/>
      </w:pPr>
      <w:r>
        <w:rPr>
          <w:rFonts w:ascii="Arial" w:hAnsi="Arial"/>
          <w:color w:val="1A1A1A"/>
          <w:sz w:val="22"/>
        </w:rPr>
        <w:t xml:space="preserve">4 </w:t>
      </w:r>
      <w:r>
        <w:rPr>
          <w:rFonts w:ascii="Arial" w:hAnsi="Arial"/>
          <w:b/>
          <w:color w:val="1A1A1A"/>
          <w:sz w:val="22"/>
        </w:rPr>
        <w:t>平台化趋势</w:t>
      </w:r>
      <w:r>
        <w:rPr>
          <w:rFonts w:ascii="Arial" w:hAnsi="Arial"/>
          <w:color w:val="1A1A1A"/>
          <w:sz w:val="22"/>
        </w:rPr>
        <w:t>：再保险交易平台（上海国际再保险中心数字化交易平台等）将改变传统业务模式</w:t>
      </w:r>
    </w:p>
    <w:p>
      <w:pPr>
        <w:spacing w:before="120" w:after="120"/>
      </w:pPr>
      <w:r>
        <w:rPr>
          <w:color w:val="7F8C8D"/>
          <w:sz w:val="16"/>
        </w:rPr>
        <w:t>━━━━━━━━━━━━━━━━━━━━━━━━━━━━━━━━━━━━━━━━━━━━━━━━━━━━━━━━━━━━</w:t>
      </w:r>
    </w:p>
    <w:p>
      <w:pPr>
        <w:pBdr>
          <w:bottom w:val="single" w:sz="6" w:space="4" w:color="2C3E50"/>
        </w:pBdr>
        <w:spacing w:before="360" w:after="160"/>
      </w:pPr>
      <w:r>
        <w:rPr>
          <w:rFonts w:ascii="Arial" w:hAnsi="Arial" w:eastAsia="Arial"/>
          <w:b/>
          <w:color w:val="2C3E50"/>
          <w:sz w:val="36"/>
        </w:rPr>
        <w:t>五、结论与展望</w:t>
      </w:r>
    </w:p>
    <w:p>
      <w:pPr>
        <w:spacing w:before="240" w:after="120"/>
      </w:pPr>
      <w:r>
        <w:rPr>
          <w:rFonts w:ascii="Arial" w:hAnsi="Arial" w:eastAsia="Arial"/>
          <w:b/>
          <w:color w:val="7F8C8D"/>
          <w:sz w:val="30"/>
        </w:rPr>
        <w:t>5.1 市场总体判断</w:t>
      </w:r>
    </w:p>
    <w:p>
      <w:pPr>
        <w:spacing w:before="60" w:after="60"/>
        <w:jc w:val="left"/>
      </w:pPr>
      <w:r>
        <w:rPr>
          <w:rFonts w:ascii="Arial" w:hAnsi="Arial"/>
          <w:color w:val="1A1A1A"/>
          <w:sz w:val="22"/>
        </w:rPr>
        <w:t xml:space="preserve">中国再保险市场在未来1-3年将呈现 </w:t>
      </w:r>
      <w:r>
        <w:rPr>
          <w:rFonts w:ascii="Arial" w:hAnsi="Arial"/>
          <w:b/>
          <w:color w:val="1A1A1A"/>
          <w:sz w:val="22"/>
        </w:rPr>
        <w:t>"三足鼎立、多元发展"</w:t>
      </w:r>
      <w:r>
        <w:rPr>
          <w:rFonts w:ascii="Arial" w:hAnsi="Arial"/>
          <w:color w:val="1A1A1A"/>
          <w:sz w:val="22"/>
        </w:rPr>
        <w:t xml:space="preserve"> 格局：</w:t>
      </w:r>
    </w:p>
    <w:p>
      <w:pPr>
        <w:spacing w:before="40" w:after="40"/>
        <w:ind w:left="567" w:hanging="283"/>
      </w:pPr>
      <w:r>
        <w:rPr>
          <w:rFonts w:ascii="Arial" w:hAnsi="Arial"/>
          <w:b/>
          <w:color w:val="2C3E50"/>
          <w:sz w:val="22"/>
        </w:rPr>
        <w:t xml:space="preserve">1. </w:t>
      </w:r>
      <w:r>
        <w:rPr>
          <w:rFonts w:ascii="Arial" w:hAnsi="Arial"/>
          <w:b/>
          <w:color w:val="1A1A1A"/>
          <w:sz w:val="22"/>
        </w:rPr>
        <w:t>中再集团</w:t>
      </w:r>
      <w:r>
        <w:rPr>
          <w:rFonts w:ascii="Arial" w:hAnsi="Arial"/>
          <w:color w:val="1A1A1A"/>
          <w:sz w:val="22"/>
        </w:rPr>
        <w:t xml:space="preserve"> 凭借国家政策支持和先发优势，继续主导市场（目标：从境内龙头升级为全球重要再保险集团）</w:t>
      </w:r>
    </w:p>
    <w:p>
      <w:pPr>
        <w:spacing w:before="40" w:after="40"/>
        <w:ind w:left="567" w:hanging="283"/>
      </w:pPr>
      <w:r>
        <w:rPr>
          <w:rFonts w:ascii="Arial" w:hAnsi="Arial"/>
          <w:b/>
          <w:color w:val="2C3E50"/>
          <w:sz w:val="22"/>
        </w:rPr>
        <w:t xml:space="preserve">2. </w:t>
      </w:r>
      <w:r>
        <w:rPr>
          <w:rFonts w:ascii="Arial" w:hAnsi="Arial"/>
          <w:b/>
          <w:color w:val="1A1A1A"/>
          <w:sz w:val="22"/>
        </w:rPr>
        <w:t>中新兴力量</w:t>
      </w:r>
      <w:r>
        <w:rPr>
          <w:rFonts w:ascii="Arial" w:hAnsi="Arial"/>
          <w:color w:val="1A1A1A"/>
          <w:sz w:val="22"/>
        </w:rPr>
        <w:t>（太平再、人保再）布局，利用集团背景争夺市场份额</w:t>
      </w:r>
    </w:p>
    <w:p>
      <w:pPr>
        <w:spacing w:before="40" w:after="40"/>
        <w:ind w:left="567" w:hanging="283"/>
      </w:pPr>
      <w:r>
        <w:rPr>
          <w:rFonts w:ascii="Arial" w:hAnsi="Arial"/>
          <w:b/>
          <w:color w:val="2C3E50"/>
          <w:sz w:val="22"/>
        </w:rPr>
        <w:t xml:space="preserve">3. </w:t>
      </w:r>
      <w:r>
        <w:rPr>
          <w:rFonts w:ascii="Arial" w:hAnsi="Arial"/>
          <w:b/>
          <w:color w:val="1A1A1A"/>
          <w:sz w:val="22"/>
        </w:rPr>
        <w:t>外资再保险</w:t>
      </w:r>
      <w:r>
        <w:rPr>
          <w:rFonts w:ascii="Arial" w:hAnsi="Arial"/>
          <w:color w:val="1A1A1A"/>
          <w:sz w:val="22"/>
        </w:rPr>
        <w:t xml:space="preserve"> 凭借技术和品牌优势，在高端细分市场（巨灾、寿险再保、绿色保险）占据主导</w:t>
      </w:r>
    </w:p>
    <w:p>
      <w:pPr>
        <w:spacing w:before="240" w:after="120"/>
      </w:pPr>
      <w:r>
        <w:rPr>
          <w:rFonts w:ascii="Arial" w:hAnsi="Arial" w:eastAsia="Arial"/>
          <w:b/>
          <w:color w:val="7F8C8D"/>
          <w:sz w:val="30"/>
        </w:rPr>
        <w:t>5.2 潜在变化因素</w:t>
      </w:r>
    </w:p>
    <w:p>
      <w:pPr>
        <w:spacing w:before="40" w:after="40"/>
        <w:ind w:left="567" w:hanging="283"/>
      </w:pPr>
      <w:r>
        <w:rPr>
          <w:rFonts w:ascii="Arial" w:hAnsi="Arial"/>
          <w:b/>
          <w:color w:val="2C3E50"/>
          <w:sz w:val="22"/>
        </w:rPr>
        <w:t xml:space="preserve">• </w:t>
      </w:r>
      <w:r>
        <w:rPr>
          <w:rFonts w:ascii="Arial" w:hAnsi="Arial"/>
          <w:b/>
          <w:color w:val="1A1A1A"/>
          <w:sz w:val="22"/>
        </w:rPr>
        <w:t>上海再保险中心建设</w:t>
      </w:r>
      <w:r>
        <w:rPr>
          <w:rFonts w:ascii="Arial" w:hAnsi="Arial"/>
          <w:color w:val="1A1A1A"/>
          <w:sz w:val="22"/>
        </w:rPr>
        <w:t xml:space="preserve"> 若加速，有望吸引国际再保险机构扩大在华布局</w:t>
      </w:r>
    </w:p>
    <w:p>
      <w:pPr>
        <w:spacing w:before="40" w:after="40"/>
        <w:ind w:left="567" w:hanging="283"/>
      </w:pPr>
      <w:r>
        <w:rPr>
          <w:rFonts w:ascii="Arial" w:hAnsi="Arial"/>
          <w:b/>
          <w:color w:val="2C3E50"/>
          <w:sz w:val="22"/>
        </w:rPr>
        <w:t xml:space="preserve">• </w:t>
      </w:r>
      <w:r>
        <w:rPr>
          <w:rFonts w:ascii="Arial" w:hAnsi="Arial"/>
          <w:b/>
          <w:color w:val="1A1A1A"/>
          <w:sz w:val="22"/>
        </w:rPr>
        <w:t>巨灾保险立法</w:t>
      </w:r>
      <w:r>
        <w:rPr>
          <w:rFonts w:ascii="Arial" w:hAnsi="Arial"/>
          <w:color w:val="1A1A1A"/>
          <w:sz w:val="22"/>
        </w:rPr>
        <w:t xml:space="preserve"> 若取得突破，将释放巨额的财产险再保险需求</w:t>
      </w:r>
    </w:p>
    <w:p>
      <w:pPr>
        <w:spacing w:before="40" w:after="40"/>
        <w:ind w:left="567" w:hanging="283"/>
      </w:pPr>
      <w:r>
        <w:rPr>
          <w:rFonts w:ascii="Arial" w:hAnsi="Arial"/>
          <w:b/>
          <w:color w:val="2C3E50"/>
          <w:sz w:val="22"/>
        </w:rPr>
        <w:t xml:space="preserve">• </w:t>
      </w:r>
      <w:r>
        <w:rPr>
          <w:rFonts w:ascii="Arial" w:hAnsi="Arial"/>
          <w:b/>
          <w:color w:val="1A1A1A"/>
          <w:sz w:val="22"/>
        </w:rPr>
        <w:t>"一带一路"</w:t>
      </w:r>
      <w:r>
        <w:rPr>
          <w:rFonts w:ascii="Arial" w:hAnsi="Arial"/>
          <w:color w:val="1A1A1A"/>
          <w:sz w:val="22"/>
        </w:rPr>
        <w:t xml:space="preserve"> 下一阶段政策力度将直接影响再保险海外业务增速</w:t>
      </w:r>
    </w:p>
    <w:p>
      <w:pPr>
        <w:spacing w:before="40" w:after="40"/>
        <w:ind w:left="567" w:hanging="283"/>
      </w:pPr>
      <w:r>
        <w:rPr>
          <w:rFonts w:ascii="Arial" w:hAnsi="Arial"/>
          <w:b/>
          <w:color w:val="2C3E50"/>
          <w:sz w:val="22"/>
        </w:rPr>
        <w:t xml:space="preserve">• </w:t>
      </w:r>
      <w:r>
        <w:rPr>
          <w:rFonts w:ascii="Arial" w:hAnsi="Arial"/>
          <w:b/>
          <w:color w:val="1A1A1A"/>
          <w:sz w:val="22"/>
        </w:rPr>
        <w:t>资本市场波动</w:t>
      </w:r>
      <w:r>
        <w:rPr>
          <w:rFonts w:ascii="Arial" w:hAnsi="Arial"/>
          <w:color w:val="1A1A1A"/>
          <w:sz w:val="22"/>
        </w:rPr>
        <w:t xml:space="preserve"> 影响再保险投资收益，间接影响保定价策略</w:t>
      </w:r>
    </w:p>
    <w:p>
      <w:pPr>
        <w:spacing w:before="240" w:after="120"/>
      </w:pPr>
      <w:r>
        <w:rPr>
          <w:rFonts w:ascii="Arial" w:hAnsi="Arial" w:eastAsia="Arial"/>
          <w:b/>
          <w:color w:val="7F8C8D"/>
          <w:sz w:val="30"/>
        </w:rPr>
        <w:t>5.3 重点关注</w:t>
      </w:r>
    </w:p>
    <w:p>
      <w:pPr>
        <w:pBdr>
          <w:left w:val="single" w:sz="18" w:space="8" w:color="2C3E50"/>
        </w:pBdr>
        <w:spacing w:before="120" w:after="120"/>
        <w:ind w:left="567"/>
        <w:shd w:fill="F5F5F5" w:val="clear"/>
      </w:pPr>
      <w:r>
        <w:rPr>
          <w:rFonts w:ascii="Arial" w:hAnsi="Arial"/>
          <w:b/>
          <w:color w:val="1A1A1A"/>
          <w:sz w:val="22"/>
        </w:rPr>
        <w:t>未来1-3年再保险市场最值得关注的三大趋势：</w:t>
      </w:r>
      <w:r>
        <w:rPr>
          <w:rFonts w:ascii="Arial" w:hAnsi="Arial"/>
          <w:color w:val="1A1A1A"/>
          <w:sz w:val="22"/>
        </w:rPr>
        <w:t xml:space="preserve"> 1. </w:t>
      </w:r>
      <w:r>
        <w:rPr>
          <w:rFonts w:ascii="Arial" w:hAnsi="Arial"/>
          <w:b/>
          <w:color w:val="1A1A1A"/>
          <w:sz w:val="22"/>
        </w:rPr>
        <w:t>中再集团国际化2.0</w:t>
      </w:r>
      <w:r>
        <w:rPr>
          <w:rFonts w:ascii="Arial" w:hAnsi="Arial"/>
          <w:color w:val="1A1A1A"/>
          <w:sz w:val="22"/>
        </w:rPr>
        <w:t xml:space="preserve">——从国内龙头向全球重要再保险集团的质变 2. </w:t>
      </w:r>
      <w:r>
        <w:rPr>
          <w:rFonts w:ascii="Arial" w:hAnsi="Arial"/>
          <w:b/>
          <w:color w:val="1A1A1A"/>
          <w:sz w:val="22"/>
        </w:rPr>
        <w:t>外资再保险本土化2.0</w:t>
      </w:r>
      <w:r>
        <w:rPr>
          <w:rFonts w:ascii="Arial" w:hAnsi="Arial"/>
          <w:color w:val="1A1A1A"/>
          <w:sz w:val="22"/>
        </w:rPr>
        <w:t xml:space="preserve">——从"技术输入"到"本地创新"的演进 3. </w:t>
      </w:r>
      <w:r>
        <w:rPr>
          <w:rFonts w:ascii="Arial" w:hAnsi="Arial"/>
          <w:b/>
          <w:color w:val="1A1A1A"/>
          <w:sz w:val="22"/>
        </w:rPr>
        <w:t>再保险科技化</w:t>
      </w:r>
      <w:r>
        <w:rPr>
          <w:rFonts w:ascii="Arial" w:hAnsi="Arial"/>
          <w:color w:val="1A1A1A"/>
          <w:sz w:val="22"/>
        </w:rPr>
        <w:t>——AI+大数据从辅助工具向核心竞争力的升级</w:t>
      </w:r>
    </w:p>
    <w:p>
      <w:pPr>
        <w:spacing w:before="120" w:after="120"/>
      </w:pPr>
      <w:r>
        <w:rPr>
          <w:color w:val="7F8C8D"/>
          <w:sz w:val="16"/>
        </w:rPr>
        <w:t>━━━━━━━━━━━━━━━━━━━━━━━━━━━━━━━━━━━━━━━━━━━━━━━━━━━━━━━━━━━━</w:t>
      </w:r>
    </w:p>
    <w:p>
      <w:pPr>
        <w:pBdr>
          <w:bottom w:val="single" w:sz="6" w:space="4" w:color="2C3E50"/>
        </w:pBdr>
        <w:spacing w:before="360" w:after="160"/>
      </w:pPr>
      <w:r>
        <w:rPr>
          <w:rFonts w:ascii="Arial" w:hAnsi="Arial" w:eastAsia="Arial"/>
          <w:b/>
          <w:color w:val="2C3E50"/>
          <w:sz w:val="36"/>
        </w:rPr>
        <w:t>六、信息出处索引</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shd w:fill="2C3E50"/>
          </w:tcPr>
          <w:p>
            <w:pPr>
              <w:jc w:val="center"/>
            </w:pPr>
            <w:r>
              <w:rPr>
                <w:rFonts w:ascii="Arial" w:hAnsi="Arial"/>
                <w:b/>
                <w:color w:val="FFFFFF"/>
                <w:sz w:val="22"/>
              </w:rPr>
              <w:t>序号</w:t>
            </w:r>
          </w:p>
        </w:tc>
        <w:tc>
          <w:tcPr>
            <w:tcW w:type="dxa" w:w="3120"/>
            <w:shd w:fill="2C3E50"/>
          </w:tcPr>
          <w:p>
            <w:pPr>
              <w:jc w:val="center"/>
            </w:pPr>
            <w:r>
              <w:rPr>
                <w:rFonts w:ascii="Arial" w:hAnsi="Arial"/>
                <w:b/>
                <w:color w:val="FFFFFF"/>
                <w:sz w:val="22"/>
              </w:rPr>
              <w:t>信息内容</w:t>
            </w:r>
          </w:p>
        </w:tc>
        <w:tc>
          <w:tcPr>
            <w:tcW w:type="dxa" w:w="3120"/>
            <w:shd w:fill="2C3E50"/>
          </w:tcPr>
          <w:p>
            <w:pPr>
              <w:jc w:val="center"/>
            </w:pPr>
            <w:r>
              <w:rPr>
                <w:rFonts w:ascii="Arial" w:hAnsi="Arial"/>
                <w:b/>
                <w:color w:val="FFFFFF"/>
                <w:sz w:val="22"/>
              </w:rPr>
              <w:t>出处</w:t>
            </w:r>
          </w:p>
        </w:tc>
      </w:tr>
      <w:tr>
        <w:tc>
          <w:tcPr>
            <w:tcW w:type="dxa" w:w="3120"/>
          </w:tcPr>
          <w:p>
            <w:r>
              <w:rPr>
                <w:rFonts w:ascii="Arial" w:hAnsi="Arial"/>
                <w:color w:val="1A1A1A"/>
                <w:sz w:val="20"/>
              </w:rPr>
              <w:t>1</w:t>
            </w:r>
          </w:p>
        </w:tc>
        <w:tc>
          <w:tcPr>
            <w:tcW w:type="dxa" w:w="3120"/>
          </w:tcPr>
          <w:p>
            <w:r>
              <w:rPr>
                <w:rFonts w:ascii="Arial" w:hAnsi="Arial"/>
                <w:color w:val="1A1A1A"/>
                <w:sz w:val="20"/>
              </w:rPr>
              <w:t>中再集团2026年党建和经营管理工作会议</w:t>
            </w:r>
          </w:p>
        </w:tc>
        <w:tc>
          <w:tcPr>
            <w:tcW w:type="dxa" w:w="3120"/>
          </w:tcPr>
          <w:p>
            <w:r>
              <w:rPr>
                <w:rFonts w:ascii="Arial" w:hAnsi="Arial"/>
                <w:color w:val="1A1A1A"/>
                <w:sz w:val="20"/>
              </w:rPr>
              <w:t>中再集团官网 2026年2月5日</w:t>
            </w:r>
          </w:p>
        </w:tc>
      </w:tr>
      <w:tr>
        <w:tc>
          <w:tcPr>
            <w:tcW w:type="dxa" w:w="3120"/>
            <w:shd w:fill="F8F9FA"/>
          </w:tcPr>
          <w:p>
            <w:r>
              <w:rPr>
                <w:rFonts w:ascii="Arial" w:hAnsi="Arial"/>
                <w:color w:val="1A1A1A"/>
                <w:sz w:val="20"/>
              </w:rPr>
              <w:t>2</w:t>
            </w:r>
          </w:p>
        </w:tc>
        <w:tc>
          <w:tcPr>
            <w:tcW w:type="dxa" w:w="3120"/>
            <w:shd w:fill="F8F9FA"/>
          </w:tcPr>
          <w:p>
            <w:r>
              <w:rPr>
                <w:rFonts w:ascii="Arial" w:hAnsi="Arial"/>
                <w:color w:val="1A1A1A"/>
                <w:sz w:val="20"/>
              </w:rPr>
              <w:t>中再集团2025年度业绩发布会</w:t>
            </w:r>
          </w:p>
        </w:tc>
        <w:tc>
          <w:tcPr>
            <w:tcW w:type="dxa" w:w="3120"/>
            <w:shd w:fill="F8F9FA"/>
          </w:tcPr>
          <w:p>
            <w:r>
              <w:rPr>
                <w:rFonts w:ascii="Arial" w:hAnsi="Arial"/>
                <w:color w:val="1A1A1A"/>
                <w:sz w:val="20"/>
              </w:rPr>
              <w:t>中再集团官网 2026年3月31日</w:t>
            </w:r>
          </w:p>
        </w:tc>
      </w:tr>
      <w:tr>
        <w:tc>
          <w:tcPr>
            <w:tcW w:type="dxa" w:w="3120"/>
          </w:tcPr>
          <w:p>
            <w:r>
              <w:rPr>
                <w:rFonts w:ascii="Arial" w:hAnsi="Arial"/>
                <w:color w:val="1A1A1A"/>
                <w:sz w:val="20"/>
              </w:rPr>
              <w:t>3</w:t>
            </w:r>
          </w:p>
        </w:tc>
        <w:tc>
          <w:tcPr>
            <w:tcW w:type="dxa" w:w="3120"/>
          </w:tcPr>
          <w:p>
            <w:r>
              <w:rPr>
                <w:rFonts w:ascii="Arial" w:hAnsi="Arial"/>
                <w:color w:val="1A1A1A"/>
                <w:sz w:val="20"/>
              </w:rPr>
              <w:t>一带一路再保险共同体第14次会议</w:t>
            </w:r>
          </w:p>
        </w:tc>
        <w:tc>
          <w:tcPr>
            <w:tcW w:type="dxa" w:w="3120"/>
          </w:tcPr>
          <w:p>
            <w:r>
              <w:rPr>
                <w:rFonts w:ascii="Arial" w:hAnsi="Arial"/>
                <w:color w:val="1A1A1A"/>
                <w:sz w:val="20"/>
              </w:rPr>
              <w:t>中再集团官网 2026年4月24日</w:t>
            </w:r>
          </w:p>
        </w:tc>
      </w:tr>
      <w:tr>
        <w:tc>
          <w:tcPr>
            <w:tcW w:type="dxa" w:w="3120"/>
            <w:shd w:fill="F8F9FA"/>
          </w:tcPr>
          <w:p>
            <w:r>
              <w:rPr>
                <w:rFonts w:ascii="Arial" w:hAnsi="Arial"/>
                <w:color w:val="1A1A1A"/>
                <w:sz w:val="20"/>
              </w:rPr>
              <w:t>4</w:t>
            </w:r>
          </w:p>
        </w:tc>
        <w:tc>
          <w:tcPr>
            <w:tcW w:type="dxa" w:w="3120"/>
            <w:shd w:fill="F8F9FA"/>
          </w:tcPr>
          <w:p>
            <w:r>
              <w:rPr>
                <w:rFonts w:ascii="Arial" w:hAnsi="Arial"/>
                <w:color w:val="1A1A1A"/>
                <w:sz w:val="20"/>
              </w:rPr>
              <w:t>庄乾志参加中国发展高层2026年会</w:t>
            </w:r>
          </w:p>
        </w:tc>
        <w:tc>
          <w:tcPr>
            <w:tcW w:type="dxa" w:w="3120"/>
            <w:shd w:fill="F8F9FA"/>
          </w:tcPr>
          <w:p>
            <w:r>
              <w:rPr>
                <w:rFonts w:ascii="Arial" w:hAnsi="Arial"/>
                <w:color w:val="1A1A1A"/>
                <w:sz w:val="20"/>
              </w:rPr>
              <w:t>中再集团官网 202年3月23日</w:t>
            </w:r>
          </w:p>
        </w:tc>
      </w:tr>
      <w:tr>
        <w:tc>
          <w:tcPr>
            <w:tcW w:type="dxa" w:w="3120"/>
          </w:tcPr>
          <w:p>
            <w:r>
              <w:rPr>
                <w:rFonts w:ascii="Arial" w:hAnsi="Arial"/>
                <w:color w:val="1A1A1A"/>
                <w:sz w:val="20"/>
              </w:rPr>
              <w:t>5</w:t>
            </w:r>
          </w:p>
        </w:tc>
        <w:tc>
          <w:tcPr>
            <w:tcW w:type="dxa" w:w="3120"/>
          </w:tcPr>
          <w:p>
            <w:r>
              <w:rPr>
                <w:rFonts w:ascii="Arial" w:hAnsi="Arial"/>
                <w:color w:val="1A1A1A"/>
                <w:sz w:val="20"/>
              </w:rPr>
              <w:t>偿二代二期工程相关要求</w:t>
            </w:r>
          </w:p>
        </w:tc>
        <w:tc>
          <w:tcPr>
            <w:tcW w:type="dxa" w:w="3120"/>
          </w:tcPr>
          <w:p>
            <w:r>
              <w:rPr>
                <w:rFonts w:ascii="Arial" w:hAnsi="Arial"/>
                <w:color w:val="1A1A1A"/>
                <w:sz w:val="20"/>
              </w:rPr>
              <w:t>国家金融监督管理总局政策文件</w:t>
            </w:r>
          </w:p>
        </w:tc>
      </w:tr>
      <w:tr>
        <w:tc>
          <w:tcPr>
            <w:tcW w:type="dxa" w:w="3120"/>
            <w:shd w:fill="F8F9FA"/>
          </w:tcPr>
          <w:p>
            <w:r>
              <w:rPr>
                <w:rFonts w:ascii="Arial" w:hAnsi="Arial"/>
                <w:color w:val="1A1A1A"/>
                <w:sz w:val="20"/>
              </w:rPr>
              <w:t>6</w:t>
            </w:r>
          </w:p>
        </w:tc>
        <w:tc>
          <w:tcPr>
            <w:tcW w:type="dxa" w:w="3120"/>
            <w:shd w:fill="F8F9FA"/>
          </w:tcPr>
          <w:p>
            <w:r>
              <w:rPr>
                <w:rFonts w:ascii="Arial" w:hAnsi="Arial"/>
                <w:color w:val="1A1A1A"/>
                <w:sz w:val="20"/>
              </w:rPr>
              <w:t>上海国际再保险中心建设方案</w:t>
            </w:r>
          </w:p>
        </w:tc>
        <w:tc>
          <w:tcPr>
            <w:tcW w:type="dxa" w:w="3120"/>
            <w:shd w:fill="F8F9FA"/>
          </w:tcPr>
          <w:p>
            <w:r>
              <w:rPr>
                <w:rFonts w:ascii="Arial" w:hAnsi="Arial"/>
                <w:color w:val="1A1A1A"/>
                <w:sz w:val="20"/>
              </w:rPr>
              <w:t>国务院、上海市金融局文件</w:t>
            </w:r>
          </w:p>
        </w:tc>
      </w:tr>
      <w:tr>
        <w:tc>
          <w:tcPr>
            <w:tcW w:type="dxa" w:w="3120"/>
          </w:tcPr>
          <w:p>
            <w:r>
              <w:rPr>
                <w:rFonts w:ascii="Arial" w:hAnsi="Arial"/>
                <w:color w:val="1A1A1A"/>
                <w:sz w:val="20"/>
              </w:rPr>
              <w:t>7</w:t>
            </w:r>
          </w:p>
        </w:tc>
        <w:tc>
          <w:tcPr>
            <w:tcW w:type="dxa" w:w="3120"/>
          </w:tcPr>
          <w:p>
            <w:r>
              <w:rPr>
                <w:rFonts w:ascii="Arial" w:hAnsi="Arial"/>
                <w:color w:val="1A1A1A"/>
                <w:sz w:val="20"/>
              </w:rPr>
              <w:t>慕尼黑再保险中国战略方向</w:t>
            </w:r>
          </w:p>
        </w:tc>
        <w:tc>
          <w:tcPr>
            <w:tcW w:type="dxa" w:w="3120"/>
          </w:tcPr>
          <w:p>
            <w:r>
              <w:rPr>
                <w:rFonts w:ascii="Arial" w:hAnsi="Arial"/>
                <w:color w:val="1A1A1A"/>
                <w:sz w:val="20"/>
              </w:rPr>
              <w:t>慕再中国官网及行业报道综合</w:t>
            </w:r>
          </w:p>
        </w:tc>
      </w:tr>
      <w:tr>
        <w:tc>
          <w:tcPr>
            <w:tcW w:type="dxa" w:w="3120"/>
            <w:shd w:fill="F8F9FA"/>
          </w:tcPr>
          <w:p>
            <w:r>
              <w:rPr>
                <w:rFonts w:ascii="Arial" w:hAnsi="Arial"/>
                <w:color w:val="1A1A1A"/>
                <w:sz w:val="20"/>
              </w:rPr>
              <w:t>8</w:t>
            </w:r>
          </w:p>
        </w:tc>
        <w:tc>
          <w:tcPr>
            <w:tcW w:type="dxa" w:w="3120"/>
            <w:shd w:fill="F8F9FA"/>
          </w:tcPr>
          <w:p>
            <w:r>
              <w:rPr>
                <w:rFonts w:ascii="Arial" w:hAnsi="Arial"/>
                <w:color w:val="1A1A1A"/>
                <w:sz w:val="20"/>
              </w:rPr>
              <w:t>瑞士再中国战略方向</w:t>
            </w:r>
          </w:p>
        </w:tc>
        <w:tc>
          <w:tcPr>
            <w:tcW w:type="dxa" w:w="3120"/>
            <w:shd w:fill="F8F9FA"/>
          </w:tcPr>
          <w:p>
            <w:r>
              <w:rPr>
                <w:rFonts w:ascii="Arial" w:hAnsi="Arial"/>
                <w:color w:val="1A1A1A"/>
                <w:sz w:val="20"/>
              </w:rPr>
              <w:t>瑞再中国官网及sigma研究报告综合</w:t>
            </w:r>
          </w:p>
        </w:tc>
      </w:tr>
      <w:tr>
        <w:tc>
          <w:tcPr>
            <w:tcW w:type="dxa" w:w="3120"/>
          </w:tcPr>
          <w:p>
            <w:r>
              <w:rPr>
                <w:rFonts w:ascii="Arial" w:hAnsi="Arial"/>
                <w:color w:val="1A1A1A"/>
                <w:sz w:val="20"/>
              </w:rPr>
              <w:t>9</w:t>
            </w:r>
          </w:p>
        </w:tc>
        <w:tc>
          <w:tcPr>
            <w:tcW w:type="dxa" w:w="3120"/>
          </w:tcPr>
          <w:p>
            <w:r>
              <w:rPr>
                <w:rFonts w:ascii="Arial" w:hAnsi="Arial"/>
                <w:color w:val="1A1A1A"/>
                <w:sz w:val="20"/>
              </w:rPr>
              <w:t>汉诺威再保险中国区业务概况</w:t>
            </w:r>
          </w:p>
        </w:tc>
        <w:tc>
          <w:tcPr>
            <w:tcW w:type="dxa" w:w="3120"/>
          </w:tcPr>
          <w:p>
            <w:r>
              <w:rPr>
                <w:rFonts w:ascii="Arial" w:hAnsi="Arial"/>
                <w:color w:val="1A1A1A"/>
                <w:sz w:val="20"/>
              </w:rPr>
              <w:t>汉诺中国官网及保险行业研究报告综合</w:t>
            </w:r>
          </w:p>
        </w:tc>
      </w:tr>
      <w:tr>
        <w:tc>
          <w:tcPr>
            <w:tcW w:type="dxa" w:w="3120"/>
            <w:shd w:fill="F8F9FA"/>
          </w:tcPr>
          <w:p>
            <w:r>
              <w:rPr>
                <w:rFonts w:ascii="Arial" w:hAnsi="Arial"/>
                <w:color w:val="1A1A1A"/>
                <w:sz w:val="20"/>
              </w:rPr>
              <w:t>10 太平再保险经营概况</w:t>
            </w:r>
          </w:p>
        </w:tc>
        <w:tc>
          <w:tcPr>
            <w:tcW w:type="dxa" w:w="3120"/>
            <w:shd w:fill="F8F9FA"/>
          </w:tcPr>
          <w:p>
            <w:r>
              <w:rPr>
                <w:rFonts w:ascii="Arial" w:hAnsi="Arial"/>
                <w:color w:val="1A1A1A"/>
                <w:sz w:val="20"/>
              </w:rPr>
              <w:t>中国太平集团年报及行业综合信息</w:t>
            </w:r>
          </w:p>
        </w:tc>
        <w:tc>
          <w:tcPr>
            <w:tcW w:type="dxa" w:w="3120"/>
            <w:shd w:fill="F8F9FA"/>
          </w:tcPr>
          <w:p/>
        </w:tc>
      </w:tr>
      <w:tr>
        <w:tc>
          <w:tcPr>
            <w:tcW w:type="dxa" w:w="3120"/>
          </w:tcPr>
          <w:p>
            <w:r>
              <w:rPr>
                <w:rFonts w:ascii="Arial" w:hAnsi="Arial"/>
                <w:color w:val="1A1A1A"/>
                <w:sz w:val="20"/>
              </w:rPr>
              <w:t>11</w:t>
            </w:r>
          </w:p>
        </w:tc>
        <w:tc>
          <w:tcPr>
            <w:tcW w:type="dxa" w:w="3120"/>
          </w:tcPr>
          <w:p>
            <w:r>
              <w:rPr>
                <w:rFonts w:ascii="Arial" w:hAnsi="Arial"/>
                <w:color w:val="1A1A1A"/>
                <w:sz w:val="20"/>
              </w:rPr>
              <w:t>人保再保险概况</w:t>
            </w:r>
          </w:p>
        </w:tc>
        <w:tc>
          <w:tcPr>
            <w:tcW w:type="dxa" w:w="3120"/>
          </w:tcPr>
          <w:p>
            <w:r>
              <w:rPr>
                <w:rFonts w:ascii="Arial" w:hAnsi="Arial"/>
                <w:color w:val="1A1A1A"/>
                <w:sz w:val="20"/>
              </w:rPr>
              <w:t>中国人保集团年报及公开信息</w:t>
            </w:r>
          </w:p>
        </w:tc>
      </w:tr>
      <w:tr>
        <w:tc>
          <w:tcPr>
            <w:tcW w:type="dxa" w:w="3120"/>
            <w:shd w:fill="F8F9FA"/>
          </w:tcPr>
          <w:p>
            <w:r>
              <w:rPr>
                <w:rFonts w:ascii="Arial" w:hAnsi="Arial"/>
                <w:color w:val="1A1A1A"/>
                <w:sz w:val="20"/>
              </w:rPr>
              <w:t>12</w:t>
            </w:r>
          </w:p>
        </w:tc>
        <w:tc>
          <w:tcPr>
            <w:tcW w:type="dxa" w:w="3120"/>
            <w:shd w:fill="F8F9FA"/>
          </w:tcPr>
          <w:p>
            <w:r>
              <w:rPr>
                <w:rFonts w:ascii="Arial" w:hAnsi="Arial"/>
                <w:color w:val="1A1A1A"/>
                <w:sz w:val="20"/>
              </w:rPr>
              <w:t>前海再保险概况</w:t>
            </w:r>
          </w:p>
        </w:tc>
        <w:tc>
          <w:tcPr>
            <w:tcW w:type="dxa" w:w="3120"/>
            <w:shd w:fill="F8F9FA"/>
          </w:tcPr>
          <w:p>
            <w:r>
              <w:rPr>
                <w:rFonts w:ascii="Arial" w:hAnsi="Arial"/>
                <w:color w:val="1A1A1A"/>
                <w:sz w:val="20"/>
              </w:rPr>
              <w:t>前海再保险公开信息及行业研报</w:t>
            </w:r>
          </w:p>
        </w:tc>
      </w:tr>
    </w:tbl>
    <w:p/>
    <w:p>
      <w:pPr>
        <w:pBdr>
          <w:left w:val="single" w:sz="18" w:space="8" w:color="2C3E50"/>
        </w:pBdr>
        <w:spacing w:before="120" w:after="120"/>
        <w:ind w:left="567"/>
        <w:shd w:fill="F5F5F5" w:val="clear"/>
      </w:pPr>
      <w:r>
        <w:rPr>
          <w:rFonts w:ascii="Arial" w:hAnsi="Arial"/>
          <w:b/>
          <w:color w:val="1A1A1A"/>
          <w:sz w:val="22"/>
        </w:rPr>
        <w:t>免责声明：</w:t>
      </w:r>
      <w:r>
        <w:rPr>
          <w:rFonts w:ascii="Arial" w:hAnsi="Arial"/>
          <w:color w:val="1A1A1A"/>
          <w:sz w:val="22"/>
        </w:rPr>
        <w:t xml:space="preserve"> 本报告基于公开数据和行业信息综合分析整理。各公司具体经营数据为估算值，仅供参考，不构成投资建议。部分公司战略方向基于行业趋势和公开信息推断，实际经营策略以各公司官方发布为准。</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