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2C3E50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Arial" w:hAnsi="Arial" w:eastAsia="Arial"/>
          <w:b/>
          <w:color w:val="2C3E50"/>
          <w:sz w:val="56"/>
        </w:rPr>
        <w:t>2026年国内玉米市场行情分析报告</w:t>
      </w:r>
    </w:p>
    <w:p>
      <w:pPr>
        <w:jc w:val="center"/>
      </w:pPr>
      <w:r>
        <w:rPr>
          <w:color w:val="2C3E50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7F8C8D"/>
          <w:sz w:val="24"/>
        </w:rPr>
        <w:t>By 调研工作组</w:t>
      </w:r>
    </w:p>
    <w:p>
      <w:pPr>
        <w:jc w:val="center"/>
      </w:pPr>
      <w:r>
        <w:rPr>
          <w:color w:val="7F8C8D"/>
          <w:sz w:val="22"/>
        </w:rPr>
        <w:t>April 26, 2026</w:t>
      </w:r>
    </w:p>
    <w:p>
      <w:r>
        <w:br w:type="page"/>
      </w:r>
    </w:p>
    <w:p>
      <w:pPr>
        <w:spacing w:before="0" w:after="240"/>
      </w:pPr>
      <w:r>
        <w:rPr>
          <w:b/>
          <w:color w:val="2C3E50"/>
          <w:sz w:val="36"/>
        </w:rPr>
        <w:t>Table of Contents</w:t>
      </w:r>
    </w:p>
    <w:p>
      <w:pPr>
        <w:spacing w:before="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</w:pPr>
      <w:r>
        <w:rPr>
          <w:color w:val="1A1A1A"/>
          <w:sz w:val="22"/>
        </w:rPr>
        <w:t>●  2026年国内玉米市场行情分析报告</w:t>
      </w:r>
    </w:p>
    <w:p>
      <w:pPr>
        <w:spacing w:before="40" w:after="40"/>
      </w:pPr>
      <w:r>
        <w:rPr>
          <w:color w:val="1A1A1A"/>
          <w:sz w:val="20"/>
        </w:rPr>
        <w:t xml:space="preserve">    ○  一、价格行情总览</w:t>
      </w:r>
    </w:p>
    <w:p>
      <w:pPr>
        <w:spacing w:before="40" w:after="40"/>
      </w:pPr>
      <w:r>
        <w:rPr>
          <w:color w:val="1A1A1A"/>
          <w:sz w:val="20"/>
        </w:rPr>
        <w:t xml:space="preserve">        ▪  1.1 期货市场价格总表（2026年4月24日收盘）</w:t>
      </w:r>
    </w:p>
    <w:p>
      <w:pPr>
        <w:spacing w:before="40" w:after="40"/>
      </w:pPr>
      <w:r>
        <w:rPr>
          <w:color w:val="1A1A1A"/>
          <w:sz w:val="20"/>
        </w:rPr>
        <w:t xml:space="preserve">        ▪  1.2 价格结构特征</w:t>
      </w:r>
    </w:p>
    <w:p>
      <w:pPr>
        <w:spacing w:before="40" w:after="40"/>
      </w:pPr>
      <w:r>
        <w:rPr>
          <w:color w:val="1A1A1A"/>
          <w:sz w:val="20"/>
        </w:rPr>
        <w:t xml:space="preserve">    ○  二、2026年价格走势回顾（按月分解）</w:t>
      </w:r>
    </w:p>
    <w:p>
      <w:pPr>
        <w:spacing w:before="40" w:after="40"/>
      </w:pPr>
      <w:r>
        <w:rPr>
          <w:color w:val="1A1A1A"/>
          <w:sz w:val="20"/>
        </w:rPr>
        <w:t xml:space="preserve">        ▪  2.1 主力合约（C2607）月度走势</w:t>
      </w:r>
    </w:p>
    <w:p>
      <w:pPr>
        <w:spacing w:before="40" w:after="40"/>
      </w:pPr>
      <w:r>
        <w:rPr>
          <w:color w:val="1A1A1A"/>
          <w:sz w:val="20"/>
        </w:rPr>
        <w:t xml:space="preserve">        ▪  2.2 年度价格走势特征</w:t>
      </w:r>
    </w:p>
    <w:p>
      <w:pPr>
        <w:spacing w:before="40" w:after="40"/>
      </w:pPr>
      <w:r>
        <w:rPr>
          <w:color w:val="1A1A1A"/>
          <w:sz w:val="20"/>
        </w:rPr>
        <w:t xml:space="preserve">    ○  三、供需基本面分析</w:t>
      </w:r>
    </w:p>
    <w:p>
      <w:pPr>
        <w:spacing w:before="40" w:after="40"/>
      </w:pPr>
      <w:r>
        <w:rPr>
          <w:color w:val="1A1A1A"/>
          <w:sz w:val="20"/>
        </w:rPr>
        <w:t xml:space="preserve">        ▪  3.1 供应端分析</w:t>
      </w:r>
    </w:p>
    <w:p>
      <w:pPr>
        <w:spacing w:before="40" w:after="40"/>
      </w:pPr>
      <w:r>
        <w:rPr>
          <w:color w:val="7F8C8D"/>
          <w:sz w:val="20"/>
        </w:rPr>
        <w:t xml:space="preserve">            •  （一）国内产量与种植面积</w:t>
      </w:r>
    </w:p>
    <w:p>
      <w:pPr>
        <w:spacing w:before="40" w:after="40"/>
      </w:pPr>
      <w:r>
        <w:rPr>
          <w:color w:val="7F8C8D"/>
          <w:sz w:val="20"/>
        </w:rPr>
        <w:t xml:space="preserve">            •  （二）进口情况</w:t>
      </w:r>
    </w:p>
    <w:p>
      <w:pPr>
        <w:spacing w:before="40" w:after="40"/>
      </w:pPr>
      <w:r>
        <w:rPr>
          <w:color w:val="7F8C8D"/>
          <w:sz w:val="20"/>
        </w:rPr>
        <w:t xml:space="preserve">            •  （三）库存水平</w:t>
      </w:r>
    </w:p>
    <w:p>
      <w:pPr>
        <w:spacing w:before="40" w:after="40"/>
      </w:pPr>
      <w:r>
        <w:rPr>
          <w:color w:val="1A1A1A"/>
          <w:sz w:val="20"/>
        </w:rPr>
        <w:t xml:space="preserve">        ▪  3.2 需求端分析</w:t>
      </w:r>
    </w:p>
    <w:p>
      <w:pPr>
        <w:spacing w:before="40" w:after="40"/>
      </w:pPr>
      <w:r>
        <w:rPr>
          <w:color w:val="7F8C8D"/>
          <w:sz w:val="20"/>
        </w:rPr>
        <w:t xml:space="preserve">            •  （一）饲用消费（占比约65%）</w:t>
      </w:r>
    </w:p>
    <w:p>
      <w:pPr>
        <w:spacing w:before="40" w:after="40"/>
      </w:pPr>
      <w:r>
        <w:rPr>
          <w:color w:val="7F8C8D"/>
          <w:sz w:val="20"/>
        </w:rPr>
        <w:t xml:space="preserve">            •  （二）深加工消费（占比约30%）</w:t>
      </w:r>
    </w:p>
    <w:p>
      <w:pPr>
        <w:spacing w:before="40" w:after="40"/>
      </w:pPr>
      <w:r>
        <w:rPr>
          <w:color w:val="7F8C8D"/>
          <w:sz w:val="20"/>
        </w:rPr>
        <w:t xml:space="preserve">            •  （三）食用消费及其他（占比约5%）</w:t>
      </w:r>
    </w:p>
    <w:p>
      <w:pPr>
        <w:spacing w:before="40" w:after="40"/>
      </w:pPr>
      <w:r>
        <w:rPr>
          <w:color w:val="1A1A1A"/>
          <w:sz w:val="20"/>
        </w:rPr>
        <w:t xml:space="preserve">        ▪  3.3 供需平衡表（估算）</w:t>
      </w:r>
    </w:p>
    <w:p>
      <w:pPr>
        <w:spacing w:before="40" w:after="40"/>
      </w:pPr>
      <w:r>
        <w:rPr>
          <w:color w:val="1A1A1A"/>
          <w:sz w:val="20"/>
        </w:rPr>
        <w:t xml:space="preserve">    ○  四、价格驱动因素分析</w:t>
      </w:r>
    </w:p>
    <w:p>
      <w:pPr>
        <w:spacing w:before="40" w:after="40"/>
      </w:pPr>
      <w:r>
        <w:rPr>
          <w:color w:val="1A1A1A"/>
          <w:sz w:val="20"/>
        </w:rPr>
        <w:t xml:space="preserve">        ▪  4.1 利多因素（支撑价格上涨）</w:t>
      </w:r>
    </w:p>
    <w:p>
      <w:pPr>
        <w:spacing w:before="40" w:after="40"/>
      </w:pPr>
      <w:r>
        <w:rPr>
          <w:color w:val="1A1A1A"/>
          <w:sz w:val="20"/>
        </w:rPr>
        <w:t xml:space="preserve">        ▪  4.2 利空因素（压制价格上涨）</w:t>
      </w:r>
    </w:p>
    <w:p>
      <w:pPr>
        <w:spacing w:before="40" w:after="40"/>
      </w:pPr>
      <w:r>
        <w:rPr>
          <w:color w:val="1A1A1A"/>
          <w:sz w:val="20"/>
        </w:rPr>
        <w:t xml:space="preserve">        ▪  4.3 近期关键事件（2026年4月）</w:t>
      </w:r>
    </w:p>
    <w:p>
      <w:pPr>
        <w:spacing w:before="40" w:after="40"/>
      </w:pPr>
      <w:r>
        <w:rPr>
          <w:color w:val="1A1A1A"/>
          <w:sz w:val="20"/>
        </w:rPr>
        <w:t xml:space="preserve">    ○  五、价差与基差分析</w:t>
      </w:r>
    </w:p>
    <w:p>
      <w:pPr>
        <w:spacing w:before="40" w:after="40"/>
      </w:pPr>
      <w:r>
        <w:rPr>
          <w:color w:val="1A1A1A"/>
          <w:sz w:val="20"/>
        </w:rPr>
        <w:t xml:space="preserve">        ▪  5.1 合约间价差（跨期价差）</w:t>
      </w:r>
    </w:p>
    <w:p>
      <w:pPr>
        <w:spacing w:before="40" w:after="40"/>
      </w:pPr>
      <w:r>
        <w:rPr>
          <w:color w:val="1A1A1A"/>
          <w:sz w:val="20"/>
        </w:rPr>
        <w:t xml:space="preserve">        ▪  5.2 区域价差</w:t>
      </w:r>
    </w:p>
    <w:p>
      <w:pPr>
        <w:spacing w:before="40" w:after="40"/>
      </w:pPr>
      <w:r>
        <w:rPr>
          <w:color w:val="1A1A1A"/>
          <w:sz w:val="20"/>
        </w:rPr>
        <w:t xml:space="preserve">    ○  六、后市展望与判断</w:t>
      </w:r>
    </w:p>
    <w:p>
      <w:pPr>
        <w:spacing w:before="40" w:after="40"/>
      </w:pPr>
      <w:r>
        <w:rPr>
          <w:color w:val="1A1A1A"/>
          <w:sz w:val="20"/>
        </w:rPr>
        <w:t xml:space="preserve">        ▪  6.1 短期（2026年5-6月）</w:t>
      </w:r>
    </w:p>
    <w:p>
      <w:pPr>
        <w:spacing w:before="40" w:after="40"/>
      </w:pPr>
      <w:r>
        <w:rPr>
          <w:color w:val="1A1A1A"/>
          <w:sz w:val="20"/>
        </w:rPr>
        <w:t xml:space="preserve">        ▪  6.2 中期（2026年7-9月）</w:t>
      </w:r>
    </w:p>
    <w:p>
      <w:pPr>
        <w:spacing w:before="40" w:after="40"/>
      </w:pPr>
      <w:r>
        <w:rPr>
          <w:color w:val="1A1A1A"/>
          <w:sz w:val="20"/>
        </w:rPr>
        <w:t xml:space="preserve">        ▪  6.3 远期（2026年10月以后）</w:t>
      </w:r>
    </w:p>
    <w:p>
      <w:pPr>
        <w:spacing w:before="40" w:after="40"/>
      </w:pPr>
      <w:r>
        <w:rPr>
          <w:color w:val="1A1A1A"/>
          <w:sz w:val="20"/>
        </w:rPr>
        <w:t xml:space="preserve">        ▪  6.4 年度价格中枢判断</w:t>
      </w:r>
    </w:p>
    <w:p>
      <w:pPr>
        <w:spacing w:before="40" w:after="40"/>
      </w:pPr>
      <w:r>
        <w:rPr>
          <w:color w:val="1A1A1A"/>
          <w:sz w:val="20"/>
        </w:rPr>
        <w:t xml:space="preserve">    ○  七、风险提示</w:t>
      </w:r>
    </w:p>
    <w:p>
      <w:r>
        <w:br w:type="page"/>
      </w:r>
    </w:p>
    <w:p>
      <w:pPr>
        <w:pBdr>
          <w:bottom w:val="single" w:sz="6" w:space="4" w:color="2C3E50"/>
        </w:pBdr>
        <w:spacing w:before="480" w:after="240"/>
      </w:pPr>
      <w:r>
        <w:rPr>
          <w:rFonts w:ascii="Arial" w:hAnsi="Arial" w:eastAsia="Arial"/>
          <w:b/>
          <w:color w:val="2C3E50"/>
          <w:sz w:val="44"/>
        </w:rPr>
        <w:t>2026年国内玉米市场行情分析报告</w:t>
      </w:r>
    </w:p>
    <w:p>
      <w:pPr>
        <w:spacing w:before="60" w:after="60"/>
        <w:jc w:val="left"/>
      </w:pPr>
      <w:r>
        <w:rPr>
          <w:rFonts w:ascii="Arial" w:hAnsi="Arial"/>
          <w:b/>
          <w:color w:val="1A1A1A"/>
          <w:sz w:val="22"/>
        </w:rPr>
        <w:t>报告日期：</w:t>
      </w:r>
      <w:r>
        <w:rPr>
          <w:rFonts w:ascii="Arial" w:hAnsi="Arial"/>
          <w:color w:val="1A1A1A"/>
          <w:sz w:val="22"/>
        </w:rPr>
        <w:t xml:space="preserve"> 2026年4月26日</w:t>
      </w:r>
    </w:p>
    <w:p>
      <w:pPr>
        <w:spacing w:before="60" w:after="60"/>
        <w:jc w:val="left"/>
      </w:pPr>
      <w:r>
        <w:rPr>
          <w:rFonts w:ascii="Arial" w:hAnsi="Arial"/>
          <w:b/>
          <w:color w:val="1A1A1A"/>
          <w:sz w:val="22"/>
        </w:rPr>
        <w:t>数据来源：</w:t>
      </w:r>
      <w:r>
        <w:rPr>
          <w:rFonts w:ascii="Arial" w:hAnsi="Arial"/>
          <w:color w:val="1A1A1A"/>
          <w:sz w:val="22"/>
        </w:rPr>
        <w:t xml:space="preserve"> 大连商品交易所（DCE）期货实时行情</w:t>
      </w:r>
    </w:p>
    <w:p>
      <w:pPr>
        <w:spacing w:before="60" w:after="60"/>
        <w:jc w:val="left"/>
      </w:pPr>
      <w:r>
        <w:rPr>
          <w:rFonts w:ascii="Arial" w:hAnsi="Arial"/>
          <w:b/>
          <w:color w:val="1A1A1A"/>
          <w:sz w:val="22"/>
        </w:rPr>
        <w:t>数据日期：</w:t>
      </w:r>
      <w:r>
        <w:rPr>
          <w:rFonts w:ascii="Arial" w:hAnsi="Arial"/>
          <w:color w:val="1A1A1A"/>
          <w:sz w:val="22"/>
        </w:rPr>
        <w:t xml:space="preserve"> 截至2026年4月24日</w:t>
      </w:r>
    </w:p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2C3E50"/>
        </w:pBdr>
        <w:spacing w:before="360" w:after="160"/>
      </w:pPr>
      <w:r>
        <w:rPr>
          <w:rFonts w:ascii="Arial" w:hAnsi="Arial" w:eastAsia="Arial"/>
          <w:b/>
          <w:color w:val="2C3E50"/>
          <w:sz w:val="36"/>
        </w:rPr>
        <w:t>一、价格行情总览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1.1 期货市场价格总表（2026年4月24日收盘）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合约</w:t>
            </w:r>
          </w:p>
        </w:tc>
        <w:tc>
          <w:tcPr>
            <w:tcW w:type="dxa" w:w="1337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交割月份</w:t>
            </w:r>
          </w:p>
        </w:tc>
        <w:tc>
          <w:tcPr>
            <w:tcW w:type="dxa" w:w="1337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最新价(元/吨)</w:t>
            </w:r>
          </w:p>
        </w:tc>
        <w:tc>
          <w:tcPr>
            <w:tcW w:type="dxa" w:w="1337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当日最高</w:t>
            </w:r>
          </w:p>
        </w:tc>
        <w:tc>
          <w:tcPr>
            <w:tcW w:type="dxa" w:w="1337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当日最低</w:t>
            </w:r>
          </w:p>
        </w:tc>
        <w:tc>
          <w:tcPr>
            <w:tcW w:type="dxa" w:w="1337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成交量(手)</w:t>
            </w:r>
          </w:p>
        </w:tc>
        <w:tc>
          <w:tcPr>
            <w:tcW w:type="dxa" w:w="1337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基差结构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C2605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2026年5月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2,392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2,401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2,390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62,953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现货月</w:t>
            </w:r>
          </w:p>
        </w:tc>
      </w:tr>
      <w:tr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C2607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2026年7月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2,417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2,431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2,413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645,447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主力合约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C2609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2026年9月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2,421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2,437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2,420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95,944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新作合约</w:t>
            </w:r>
          </w:p>
        </w:tc>
      </w:tr>
      <w:tr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C2611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2026年11月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2,383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2,396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2,382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30,078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远月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C2701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2027年1月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2,390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2,401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2,390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8,081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远月</w:t>
            </w:r>
          </w:p>
        </w:tc>
      </w:tr>
      <w:tr>
        <w:tc>
          <w:tcPr>
            <w:tcW w:type="dxa" w:w="1337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连续指数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—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2,422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2,426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2,415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1,495,520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加权</w:t>
            </w:r>
          </w:p>
        </w:tc>
      </w:tr>
    </w:tbl>
    <w:p/>
    <w:p>
      <w:pPr>
        <w:pBdr>
          <w:left w:val="single" w:sz="18" w:space="8" w:color="2C3E50"/>
        </w:pBdr>
        <w:spacing w:before="120" w:after="120"/>
        <w:ind w:left="567"/>
        <w:shd w:fill="F5F5F5" w:val="clear"/>
      </w:pPr>
      <w:r>
        <w:rPr>
          <w:rFonts w:ascii="Arial" w:hAnsi="Arial"/>
          <w:b/>
          <w:color w:val="1A1A1A"/>
          <w:sz w:val="22"/>
        </w:rPr>
        <w:t>数据来源：</w:t>
      </w:r>
      <w:r>
        <w:rPr>
          <w:rFonts w:ascii="Arial" w:hAnsi="Arial"/>
          <w:color w:val="1A1A1A"/>
          <w:sz w:val="22"/>
        </w:rPr>
        <w:t xml:space="preserve"> 大连商品交易所（DCE），通过新浪财经行情接口实时获取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1.2 价格结构特征</w:t>
      </w:r>
    </w:p>
    <w:p>
      <w:pPr>
        <w:spacing w:before="60" w:after="60"/>
        <w:jc w:val="left"/>
      </w:pPr>
      <w:r>
        <w:rPr>
          <w:rFonts w:ascii="Arial" w:hAnsi="Arial"/>
          <w:b/>
          <w:color w:val="1A1A1A"/>
          <w:sz w:val="22"/>
        </w:rPr>
        <w:t>期限结构分析：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• </w:t>
      </w:r>
      <w:r>
        <w:rPr>
          <w:rFonts w:ascii="Arial" w:hAnsi="Arial"/>
          <w:color w:val="1A1A1A"/>
          <w:sz w:val="22"/>
        </w:rPr>
        <w:t>C2605（近月）→ C2607（主力）：</w:t>
      </w:r>
      <w:r>
        <w:rPr>
          <w:rFonts w:ascii="Arial" w:hAnsi="Arial"/>
          <w:b/>
          <w:color w:val="1A1A1A"/>
          <w:sz w:val="22"/>
        </w:rPr>
        <w:t>Contango +25元/吨</w:t>
      </w:r>
      <w:r>
        <w:rPr>
          <w:rFonts w:ascii="Arial" w:hAnsi="Arial"/>
          <w:color w:val="1A1A1A"/>
          <w:sz w:val="22"/>
        </w:rPr>
        <w:t>（近低远高）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• </w:t>
      </w:r>
      <w:r>
        <w:rPr>
          <w:rFonts w:ascii="Arial" w:hAnsi="Arial"/>
          <w:color w:val="1A1A1A"/>
          <w:sz w:val="22"/>
        </w:rPr>
        <w:t>C2607 → C2609：</w:t>
      </w:r>
      <w:r>
        <w:rPr>
          <w:rFonts w:ascii="Arial" w:hAnsi="Arial"/>
          <w:b/>
          <w:color w:val="1A1A1A"/>
          <w:sz w:val="22"/>
        </w:rPr>
        <w:t>基本平水 +4元/吨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• </w:t>
      </w:r>
      <w:r>
        <w:rPr>
          <w:rFonts w:ascii="Arial" w:hAnsi="Arial"/>
          <w:color w:val="1A1A1A"/>
          <w:sz w:val="22"/>
        </w:rPr>
        <w:t>C2609 → C2611：</w:t>
      </w:r>
      <w:r>
        <w:rPr>
          <w:rFonts w:ascii="Arial" w:hAnsi="Arial"/>
          <w:b/>
          <w:color w:val="1A1A1A"/>
          <w:sz w:val="22"/>
        </w:rPr>
        <w:t>Backwardation -38元/吨</w:t>
      </w:r>
      <w:r>
        <w:rPr>
          <w:rFonts w:ascii="Arial" w:hAnsi="Arial"/>
          <w:color w:val="1A1A1A"/>
          <w:sz w:val="22"/>
        </w:rPr>
        <w:t>（新作上市预期压制）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• </w:t>
      </w:r>
      <w:r>
        <w:rPr>
          <w:rFonts w:ascii="Arial" w:hAnsi="Arial"/>
          <w:color w:val="1A1A1A"/>
          <w:sz w:val="22"/>
        </w:rPr>
        <w:t>C2611 → C2701：</w:t>
      </w:r>
      <w:r>
        <w:rPr>
          <w:rFonts w:ascii="Arial" w:hAnsi="Arial"/>
          <w:b/>
          <w:color w:val="1A1A1A"/>
          <w:sz w:val="22"/>
        </w:rPr>
        <w:t>弱Backwardation +7元/吨</w:t>
      </w:r>
    </w:p>
    <w:p>
      <w:pPr>
        <w:spacing w:before="60" w:after="60"/>
        <w:jc w:val="left"/>
      </w:pPr>
      <w:r>
        <w:rPr>
          <w:rFonts w:ascii="Arial" w:hAnsi="Arial"/>
          <w:b/>
          <w:color w:val="1A1A1A"/>
          <w:sz w:val="22"/>
        </w:rPr>
        <w:t>关键特征</w:t>
      </w:r>
      <w:r>
        <w:rPr>
          <w:rFonts w:ascii="Arial" w:hAnsi="Arial"/>
          <w:color w:val="1A1A1A"/>
          <w:sz w:val="22"/>
        </w:rPr>
        <w:t xml:space="preserve">：市场呈现 </w:t>
      </w:r>
      <w:r>
        <w:rPr>
          <w:rFonts w:ascii="Arial" w:hAnsi="Arial"/>
          <w:b/>
          <w:color w:val="1A1A1A"/>
          <w:sz w:val="22"/>
        </w:rPr>
        <w:t>"近强远弱"</w:t>
      </w:r>
      <w:r>
        <w:rPr>
          <w:rFonts w:ascii="Arial" w:hAnsi="Arial"/>
          <w:color w:val="1A1A1A"/>
          <w:sz w:val="22"/>
        </w:rPr>
        <w:t xml:space="preserve"> 格局。7-9月受现货紧张支撑价格高位，但11月及远月合约因预期新粮上市，价格明显走低，反映出市场对2026年下半年新作上市的看空预期。</w:t>
      </w:r>
    </w:p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2C3E50"/>
        </w:pBdr>
        <w:spacing w:before="360" w:after="160"/>
      </w:pPr>
      <w:r>
        <w:rPr>
          <w:rFonts w:ascii="Arial" w:hAnsi="Arial" w:eastAsia="Arial"/>
          <w:b/>
          <w:color w:val="2C3E50"/>
          <w:sz w:val="36"/>
        </w:rPr>
        <w:t>二、2026年价格走势回顾（按月分解）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2.1 主力合约（C2607）月度走势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月份</w:t>
            </w:r>
          </w:p>
        </w:tc>
        <w:tc>
          <w:tcPr>
            <w:tcW w:type="dxa" w:w="1337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月初价</w:t>
            </w:r>
          </w:p>
        </w:tc>
        <w:tc>
          <w:tcPr>
            <w:tcW w:type="dxa" w:w="1337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月内最高</w:t>
            </w:r>
          </w:p>
        </w:tc>
        <w:tc>
          <w:tcPr>
            <w:tcW w:type="dxa" w:w="1337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月内最低</w:t>
            </w:r>
          </w:p>
        </w:tc>
        <w:tc>
          <w:tcPr>
            <w:tcW w:type="dxa" w:w="1337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月末价</w:t>
            </w:r>
          </w:p>
        </w:tc>
        <w:tc>
          <w:tcPr>
            <w:tcW w:type="dxa" w:w="1337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月均价</w:t>
            </w:r>
          </w:p>
        </w:tc>
        <w:tc>
          <w:tcPr>
            <w:tcW w:type="dxa" w:w="1337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环比涨跌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2025-12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2,279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2,303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2,236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2,267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2,266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—</w:t>
            </w:r>
          </w:p>
        </w:tc>
      </w:tr>
      <w:tr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2026-01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2,258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2,304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2,254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2,291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2,286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+24</w:t>
            </w:r>
          </w:p>
        </w:tc>
      </w:tr>
      <w:tr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2026-02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2,289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2,370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2,272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2,370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2,313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+79</w:t>
            </w:r>
          </w:p>
        </w:tc>
      </w:tr>
      <w:tr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2026-03 2,365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2,447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2,363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2,368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2,393</w:t>
            </w:r>
          </w:p>
        </w:tc>
        <w:tc>
          <w:tcPr>
            <w:tcW w:type="dxa" w:w="1337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-2</w:t>
            </w:r>
          </w:p>
        </w:tc>
        <w:tc>
          <w:tcPr>
            <w:tcW w:type="dxa" w:w="1337"/>
            <w:shd w:fill="F8F9FA"/>
          </w:tcPr>
          <w:p/>
        </w:tc>
      </w:tr>
      <w:tr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2026-04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2,366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2,445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color w:val="1A1A1A"/>
                <w:sz w:val="20"/>
              </w:rPr>
              <w:t>2,354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2,417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2,394</w:t>
            </w:r>
          </w:p>
        </w:tc>
        <w:tc>
          <w:tcPr>
            <w:tcW w:type="dxa" w:w="1337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+49</w:t>
            </w:r>
          </w:p>
        </w:tc>
      </w:tr>
    </w:tbl>
    <w:p/>
    <w:p>
      <w:pPr>
        <w:pBdr>
          <w:left w:val="single" w:sz="18" w:space="8" w:color="2C3E50"/>
        </w:pBdr>
        <w:spacing w:before="120" w:after="120"/>
        <w:ind w:left="567"/>
        <w:shd w:fill="F5F5F5" w:val="clear"/>
      </w:pPr>
      <w:r>
        <w:rPr>
          <w:rFonts w:ascii="Arial" w:hAnsi="Arial"/>
          <w:b/>
          <w:color w:val="1A1A1A"/>
          <w:sz w:val="22"/>
        </w:rPr>
        <w:t>数据来源：</w:t>
      </w:r>
      <w:r>
        <w:rPr>
          <w:rFonts w:ascii="Arial" w:hAnsi="Arial"/>
          <w:color w:val="1A1A1A"/>
          <w:sz w:val="22"/>
        </w:rPr>
        <w:t xml:space="preserve"> 大连商品交易所C2607合约日K线，新浪财经接口获取，189个交易日数据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2.2 年度价格走势特征</w:t>
      </w:r>
    </w:p>
    <w:p>
      <w:pPr>
        <w:spacing w:before="60" w:after="60"/>
        <w:jc w:val="left"/>
      </w:pPr>
      <w:r>
        <w:rPr>
          <w:rFonts w:ascii="Arial" w:hAnsi="Arial"/>
          <w:b/>
          <w:color w:val="1A1A1A"/>
          <w:sz w:val="22"/>
        </w:rPr>
        <w:t>第一阶段（1月）：</w:t>
      </w:r>
      <w:r>
        <w:rPr>
          <w:rFonts w:ascii="Arial" w:hAnsi="Arial"/>
          <w:color w:val="1A1A1A"/>
          <w:sz w:val="22"/>
        </w:rPr>
        <w:t xml:space="preserve"> 窄幅震荡筑底，价格在2,254-2,304区间运行，市场等待方向</w:t>
      </w:r>
    </w:p>
    <w:p>
      <w:pPr>
        <w:spacing w:before="60" w:after="60"/>
        <w:jc w:val="left"/>
      </w:pPr>
      <w:r>
        <w:rPr>
          <w:rFonts w:ascii="Arial" w:hAnsi="Arial"/>
          <w:b/>
          <w:color w:val="1A1A1A"/>
          <w:sz w:val="22"/>
        </w:rPr>
        <w:t>第二阶段（2月）：</w:t>
      </w:r>
      <w:r>
        <w:rPr>
          <w:rFonts w:ascii="Arial" w:hAnsi="Arial"/>
          <w:color w:val="1A1A1A"/>
          <w:sz w:val="22"/>
        </w:rPr>
        <w:t xml:space="preserve"> </w:t>
      </w:r>
      <w:r>
        <w:rPr>
          <w:rFonts w:ascii="Arial" w:hAnsi="Arial"/>
          <w:b/>
          <w:color w:val="1A1A1A"/>
          <w:sz w:val="22"/>
        </w:rPr>
        <w:t>启动上涨行情</w:t>
      </w:r>
      <w:r>
        <w:rPr>
          <w:rFonts w:ascii="Arial" w:hAnsi="Arial"/>
          <w:color w:val="1A1A1A"/>
          <w:sz w:val="22"/>
        </w:rPr>
        <w:t>，从2,289涨至2,370，月度涨幅+79元/吨(+3.5%)，伴随成交量明显放大</w:t>
      </w:r>
    </w:p>
    <w:p>
      <w:pPr>
        <w:spacing w:before="60" w:after="60"/>
        <w:jc w:val="left"/>
      </w:pPr>
      <w:r>
        <w:rPr>
          <w:rFonts w:ascii="Arial" w:hAnsi="Arial"/>
          <w:b/>
          <w:color w:val="1A1A1A"/>
          <w:sz w:val="22"/>
        </w:rPr>
        <w:t>第三阶段（3月）：</w:t>
      </w:r>
      <w:r>
        <w:rPr>
          <w:rFonts w:ascii="Arial" w:hAnsi="Arial"/>
          <w:color w:val="1A1A1A"/>
          <w:sz w:val="22"/>
        </w:rPr>
        <w:t xml:space="preserve"> </w:t>
      </w:r>
      <w:r>
        <w:rPr>
          <w:rFonts w:ascii="Arial" w:hAnsi="Arial"/>
          <w:b/>
          <w:color w:val="1A1A1A"/>
          <w:sz w:val="22"/>
        </w:rPr>
        <w:t>加速冲高</w:t>
      </w:r>
      <w:r>
        <w:rPr>
          <w:rFonts w:ascii="Arial" w:hAnsi="Arial"/>
          <w:color w:val="1A1A1A"/>
          <w:sz w:val="22"/>
        </w:rPr>
        <w:t xml:space="preserve">，3月初触及年内最高点 </w:t>
      </w:r>
      <w:r>
        <w:rPr>
          <w:rFonts w:ascii="Arial" w:hAnsi="Arial"/>
          <w:b/>
          <w:color w:val="1A1A1A"/>
          <w:sz w:val="22"/>
        </w:rPr>
        <w:t>2,447元/吨</w:t>
      </w:r>
      <w:r>
        <w:rPr>
          <w:rFonts w:ascii="Arial" w:hAnsi="Arial"/>
          <w:color w:val="1A1A1A"/>
          <w:sz w:val="22"/>
        </w:rPr>
        <w:t>，随后高位回落，月末收于2,368。月内波幅高达84元/吨</w:t>
      </w:r>
    </w:p>
    <w:p>
      <w:pPr>
        <w:spacing w:before="60" w:after="60"/>
        <w:jc w:val="left"/>
      </w:pPr>
      <w:r>
        <w:rPr>
          <w:rFonts w:ascii="Arial" w:hAnsi="Arial"/>
          <w:b/>
          <w:color w:val="1A1A1A"/>
          <w:sz w:val="22"/>
        </w:rPr>
        <w:t>第四阶段（4月至今）：</w:t>
      </w:r>
      <w:r>
        <w:rPr>
          <w:rFonts w:ascii="Arial" w:hAnsi="Arial"/>
          <w:color w:val="1A1A1A"/>
          <w:sz w:val="22"/>
        </w:rPr>
        <w:t xml:space="preserve"> </w:t>
      </w:r>
      <w:r>
        <w:rPr>
          <w:rFonts w:ascii="Arial" w:hAnsi="Arial"/>
          <w:b/>
          <w:color w:val="1A1A1A"/>
          <w:sz w:val="22"/>
        </w:rPr>
        <w:t>高位震荡</w:t>
      </w:r>
      <w:r>
        <w:rPr>
          <w:rFonts w:ascii="Arial" w:hAnsi="Arial"/>
          <w:color w:val="1A1A1A"/>
          <w:sz w:val="22"/>
        </w:rPr>
        <w:t>，上半月回调整理至2,354一线，4月21日起再度拉升突破2,400，当前在2,400-2,420区间运行</w:t>
      </w:r>
    </w:p>
    <w:p>
      <w:pPr>
        <w:spacing w:before="60" w:after="60"/>
        <w:jc w:val="left"/>
      </w:pPr>
      <w:r>
        <w:rPr>
          <w:rFonts w:ascii="Arial" w:hAnsi="Arial"/>
          <w:b/>
          <w:color w:val="1A1A1A"/>
          <w:sz w:val="22"/>
        </w:rPr>
        <w:t>年内主要合约涨幅统计：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合约</w:t>
            </w:r>
          </w:p>
        </w:tc>
        <w:tc>
          <w:tcPr>
            <w:tcW w:type="dxa" w:w="1872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年初价格</w:t>
            </w:r>
          </w:p>
        </w:tc>
        <w:tc>
          <w:tcPr>
            <w:tcW w:type="dxa" w:w="1872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当前价格</w:t>
            </w:r>
          </w:p>
        </w:tc>
        <w:tc>
          <w:tcPr>
            <w:tcW w:type="dxa" w:w="1872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年内涨幅</w:t>
            </w:r>
          </w:p>
        </w:tc>
        <w:tc>
          <w:tcPr>
            <w:tcW w:type="dxa" w:w="1872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涨幅比例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C2605（5月）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2,258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1A1A1A"/>
                <w:sz w:val="20"/>
              </w:rPr>
              <w:t>2,392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+134元/吨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+5.93%</w:t>
            </w:r>
          </w:p>
        </w:tc>
      </w:tr>
      <w:tr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C2607（7月）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2,267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2,417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+150元/吨</w:t>
            </w:r>
          </w:p>
        </w:tc>
        <w:tc>
          <w:tcPr>
            <w:tcW w:type="dxa" w:w="1872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+6.62%</w:t>
            </w:r>
          </w:p>
        </w:tc>
      </w:tr>
    </w:tbl>
    <w:p/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2C3E50"/>
        </w:pBdr>
        <w:spacing w:before="360" w:after="160"/>
      </w:pPr>
      <w:r>
        <w:rPr>
          <w:rFonts w:ascii="Arial" w:hAnsi="Arial" w:eastAsia="Arial"/>
          <w:b/>
          <w:color w:val="2C3E50"/>
          <w:sz w:val="36"/>
        </w:rPr>
        <w:t>三、供需基本面分析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3.1 供应端分析</w:t>
      </w:r>
    </w:p>
    <w:p>
      <w:pPr>
        <w:spacing w:before="160" w:after="80"/>
      </w:pPr>
      <w:r>
        <w:rPr>
          <w:rFonts w:ascii="Arial" w:hAnsi="Arial" w:eastAsia="Arial"/>
          <w:b/>
          <w:color w:val="1A1A1A"/>
          <w:sz w:val="26"/>
        </w:rPr>
        <w:t>（一）国内产量与种植面积</w:t>
      </w:r>
    </w:p>
    <w:p>
      <w:pPr>
        <w:spacing w:before="60" w:after="60"/>
        <w:jc w:val="left"/>
      </w:pPr>
      <w:r>
        <w:rPr>
          <w:rFonts w:ascii="Arial" w:hAnsi="Arial"/>
          <w:b/>
          <w:color w:val="1A1A1A"/>
          <w:sz w:val="22"/>
        </w:rPr>
        <w:t>2025年国产玉米情况（影响2026年上年度供应）：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• </w:t>
      </w:r>
      <w:r>
        <w:rPr>
          <w:rFonts w:ascii="Arial" w:hAnsi="Arial"/>
          <w:color w:val="1A1A1A"/>
          <w:sz w:val="22"/>
        </w:rPr>
        <w:t xml:space="preserve">2025年全国玉米播种面积约 </w:t>
      </w:r>
      <w:r>
        <w:rPr>
          <w:rFonts w:ascii="Arial" w:hAnsi="Arial"/>
          <w:b/>
          <w:color w:val="1A1A1A"/>
          <w:sz w:val="22"/>
        </w:rPr>
        <w:t>6.8亿亩</w:t>
      </w:r>
      <w:r>
        <w:rPr>
          <w:rFonts w:ascii="Arial" w:hAnsi="Arial"/>
          <w:color w:val="1A1A1A"/>
          <w:sz w:val="22"/>
        </w:rPr>
        <w:t>，同比基本持平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• </w:t>
      </w:r>
      <w:r>
        <w:rPr>
          <w:rFonts w:ascii="Arial" w:hAnsi="Arial"/>
          <w:color w:val="1A1A1A"/>
          <w:sz w:val="22"/>
        </w:rPr>
        <w:t xml:space="preserve">2025年玉米产量约 </w:t>
      </w:r>
      <w:r>
        <w:rPr>
          <w:rFonts w:ascii="Arial" w:hAnsi="Arial"/>
          <w:b/>
          <w:color w:val="1A1A1A"/>
          <w:sz w:val="22"/>
        </w:rPr>
        <w:t>2.89亿吨</w:t>
      </w:r>
      <w:r>
        <w:rPr>
          <w:rFonts w:ascii="Arial" w:hAnsi="Arial"/>
          <w:color w:val="1A1A1A"/>
          <w:sz w:val="22"/>
        </w:rPr>
        <w:t>，较上年小幅增加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• </w:t>
      </w:r>
      <w:r>
        <w:rPr>
          <w:rFonts w:ascii="Arial" w:hAnsi="Arial"/>
          <w:color w:val="1A1A1A"/>
          <w:sz w:val="22"/>
        </w:rPr>
        <w:t>主要产区（黑龙江、吉林、山东、河南）气候条件总体正常</w:t>
      </w:r>
    </w:p>
    <w:p>
      <w:pPr>
        <w:spacing w:before="60" w:after="60"/>
        <w:jc w:val="left"/>
      </w:pPr>
      <w:r>
        <w:rPr>
          <w:rFonts w:ascii="Arial" w:hAnsi="Arial"/>
          <w:b/>
          <w:color w:val="1A1A1A"/>
          <w:sz w:val="22"/>
        </w:rPr>
        <w:t>2026年新季玉米种植预期：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• </w:t>
      </w:r>
      <w:r>
        <w:rPr>
          <w:rFonts w:ascii="Arial" w:hAnsi="Arial"/>
          <w:color w:val="1A1A1A"/>
          <w:sz w:val="22"/>
        </w:rPr>
        <w:t>春播即将展开，大豆玉米种植面积调整政策仍具不确定性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• </w:t>
      </w:r>
      <w:r>
        <w:rPr>
          <w:rFonts w:ascii="Arial" w:hAnsi="Arial"/>
          <w:color w:val="1A1A1A"/>
          <w:sz w:val="22"/>
        </w:rPr>
        <w:t>种植成本方面：地租、化肥、种子等成本居高不下，支撑远期价格底部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• </w:t>
      </w:r>
      <w:r>
        <w:rPr>
          <w:rFonts w:ascii="Arial" w:hAnsi="Arial"/>
          <w:color w:val="1A1A1A"/>
          <w:sz w:val="22"/>
        </w:rPr>
        <w:t>政策面："稳大豆、扩油菜"政策导向可能制约玉米面积大幅增长</w:t>
      </w:r>
    </w:p>
    <w:p>
      <w:pPr>
        <w:spacing w:before="160" w:after="80"/>
      </w:pPr>
      <w:r>
        <w:rPr>
          <w:rFonts w:ascii="Arial" w:hAnsi="Arial" w:eastAsia="Arial"/>
          <w:b/>
          <w:color w:val="1A1A1A"/>
          <w:sz w:val="26"/>
        </w:rPr>
        <w:t>（二）进口情况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• </w:t>
      </w:r>
      <w:r>
        <w:rPr>
          <w:rFonts w:ascii="Arial" w:hAnsi="Arial"/>
          <w:color w:val="1A1A1A"/>
          <w:sz w:val="22"/>
        </w:rPr>
        <w:t xml:space="preserve">2025年度玉米进口量约 </w:t>
      </w:r>
      <w:r>
        <w:rPr>
          <w:rFonts w:ascii="Arial" w:hAnsi="Arial"/>
          <w:b/>
          <w:color w:val="1A1A1A"/>
          <w:sz w:val="22"/>
        </w:rPr>
        <w:t>1,200万吨</w:t>
      </w:r>
      <w:r>
        <w:rPr>
          <w:rFonts w:ascii="Arial" w:hAnsi="Arial"/>
          <w:color w:val="1A1A1A"/>
          <w:sz w:val="22"/>
        </w:rPr>
        <w:t>，较峰值有所回落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• </w:t>
      </w:r>
      <w:r>
        <w:rPr>
          <w:rFonts w:ascii="Arial" w:hAnsi="Arial"/>
          <w:color w:val="1A1A1A"/>
          <w:sz w:val="22"/>
        </w:rPr>
        <w:t>2026年配额内进口仍为720万吨，配额外关税较高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• </w:t>
      </w:r>
      <w:r>
        <w:rPr>
          <w:rFonts w:ascii="Arial" w:hAnsi="Arial"/>
          <w:color w:val="1A1A1A"/>
          <w:sz w:val="22"/>
        </w:rPr>
        <w:t>进口来源仍以巴西、美国为主，但国际玉米价格波动较大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• </w:t>
      </w:r>
      <w:r>
        <w:rPr>
          <w:rFonts w:ascii="Arial" w:hAnsi="Arial"/>
          <w:color w:val="1A1A1A"/>
          <w:sz w:val="22"/>
        </w:rPr>
        <w:t>人民币汇率波动对进口成本产生影响</w:t>
      </w:r>
    </w:p>
    <w:p>
      <w:pPr>
        <w:spacing w:before="160" w:after="80"/>
      </w:pPr>
      <w:r>
        <w:rPr>
          <w:rFonts w:ascii="Arial" w:hAnsi="Arial" w:eastAsia="Arial"/>
          <w:b/>
          <w:color w:val="1A1A1A"/>
          <w:sz w:val="26"/>
        </w:rPr>
        <w:t>（三）库存水平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• </w:t>
      </w:r>
      <w:r>
        <w:rPr>
          <w:rFonts w:ascii="Arial" w:hAnsi="Arial"/>
          <w:color w:val="1A1A1A"/>
          <w:sz w:val="22"/>
        </w:rPr>
        <w:t>临储库存消化完毕，当前为市场化库存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• </w:t>
      </w:r>
      <w:r>
        <w:rPr>
          <w:rFonts w:ascii="Arial" w:hAnsi="Arial"/>
          <w:color w:val="1A1A1A"/>
          <w:sz w:val="22"/>
        </w:rPr>
        <w:t>渠道库存（贸易商+深加工企业）处于</w:t>
      </w:r>
      <w:r>
        <w:rPr>
          <w:rFonts w:ascii="Arial" w:hAnsi="Arial"/>
          <w:b/>
          <w:color w:val="1A1A1A"/>
          <w:sz w:val="22"/>
        </w:rPr>
        <w:t>中等偏低水平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• </w:t>
      </w:r>
      <w:r>
        <w:rPr>
          <w:rFonts w:ascii="Arial" w:hAnsi="Arial"/>
          <w:color w:val="1A1A1A"/>
          <w:sz w:val="22"/>
        </w:rPr>
        <w:t>2026年初以来价格上涨背景下，渠道补库意愿增强，进一步推升价格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3.2 需求端分析</w:t>
      </w:r>
    </w:p>
    <w:p>
      <w:pPr>
        <w:spacing w:before="160" w:after="80"/>
      </w:pPr>
      <w:r>
        <w:rPr>
          <w:rFonts w:ascii="Arial" w:hAnsi="Arial" w:eastAsia="Arial"/>
          <w:b/>
          <w:color w:val="1A1A1A"/>
          <w:sz w:val="26"/>
        </w:rPr>
        <w:t>（一）饲用消费（占比约65%）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玉米最大需求端为饲料消费：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• </w:t>
      </w:r>
      <w:r>
        <w:rPr>
          <w:rFonts w:ascii="Arial" w:hAnsi="Arial"/>
          <w:b/>
          <w:color w:val="1A1A1A"/>
          <w:sz w:val="22"/>
        </w:rPr>
        <w:t>生猪存栏</w:t>
      </w:r>
      <w:r>
        <w:rPr>
          <w:rFonts w:ascii="Arial" w:hAnsi="Arial"/>
          <w:color w:val="1A1A1A"/>
          <w:sz w:val="22"/>
        </w:rPr>
        <w:t>：2026年生猪存栏仍处高位，能繁母猪存栏充足，猪料需求持稳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• </w:t>
      </w:r>
      <w:r>
        <w:rPr>
          <w:rFonts w:ascii="Arial" w:hAnsi="Arial"/>
          <w:b/>
          <w:color w:val="1A1A1A"/>
          <w:sz w:val="22"/>
        </w:rPr>
        <w:t>禽料需求</w:t>
      </w:r>
      <w:r>
        <w:rPr>
          <w:rFonts w:ascii="Arial" w:hAnsi="Arial"/>
          <w:color w:val="1A1A1A"/>
          <w:sz w:val="22"/>
        </w:rPr>
        <w:t>：白羽肉鸡、蛋鸡存栏量均处高位，禽料需求旺盛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• </w:t>
      </w:r>
      <w:r>
        <w:rPr>
          <w:rFonts w:ascii="Arial" w:hAnsi="Arial"/>
          <w:b/>
          <w:color w:val="1A1A1A"/>
          <w:sz w:val="22"/>
        </w:rPr>
        <w:t>水产料</w:t>
      </w:r>
      <w:r>
        <w:rPr>
          <w:rFonts w:ascii="Arial" w:hAnsi="Arial"/>
          <w:color w:val="1A1A1A"/>
          <w:sz w:val="22"/>
        </w:rPr>
        <w:t>：4月后水产养殖逐步启动，季节性需求回升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• </w:t>
      </w:r>
      <w:r>
        <w:rPr>
          <w:rFonts w:ascii="Arial" w:hAnsi="Arial"/>
          <w:color w:val="1A1A1A"/>
          <w:sz w:val="22"/>
        </w:rPr>
        <w:t xml:space="preserve">综合判断：2026年饲料消费总量预计 </w:t>
      </w:r>
      <w:r>
        <w:rPr>
          <w:rFonts w:ascii="Arial" w:hAnsi="Arial"/>
          <w:b/>
          <w:color w:val="1A1A1A"/>
          <w:sz w:val="22"/>
        </w:rPr>
        <w:t>稳中有增</w:t>
      </w:r>
      <w:r>
        <w:rPr>
          <w:rFonts w:ascii="Arial" w:hAnsi="Arial"/>
          <w:color w:val="1A1A1A"/>
          <w:sz w:val="22"/>
        </w:rPr>
        <w:t>，增幅约1-2%</w:t>
      </w:r>
    </w:p>
    <w:p>
      <w:pPr>
        <w:spacing w:before="160" w:after="80"/>
      </w:pPr>
      <w:r>
        <w:rPr>
          <w:rFonts w:ascii="Arial" w:hAnsi="Arial" w:eastAsia="Arial"/>
          <w:b/>
          <w:color w:val="1A1A1A"/>
          <w:sz w:val="26"/>
        </w:rPr>
        <w:t>（二）深加工消费（占比约30%）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• </w:t>
      </w:r>
      <w:r>
        <w:rPr>
          <w:rFonts w:ascii="Arial" w:hAnsi="Arial"/>
          <w:b/>
          <w:color w:val="1A1A1A"/>
          <w:sz w:val="22"/>
        </w:rPr>
        <w:t>淀粉加工</w:t>
      </w:r>
      <w:r>
        <w:rPr>
          <w:rFonts w:ascii="Arial" w:hAnsi="Arial"/>
          <w:color w:val="1A1A1A"/>
          <w:sz w:val="22"/>
        </w:rPr>
        <w:t>：淀粉加工利润改善，开工率回升至60-70%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• </w:t>
      </w:r>
      <w:r>
        <w:rPr>
          <w:rFonts w:ascii="Arial" w:hAnsi="Arial"/>
          <w:b/>
          <w:color w:val="1A1A1A"/>
          <w:sz w:val="22"/>
        </w:rPr>
        <w:t>酒精/乙醇</w:t>
      </w:r>
      <w:r>
        <w:rPr>
          <w:rFonts w:ascii="Arial" w:hAnsi="Arial"/>
          <w:color w:val="1A1A1A"/>
          <w:sz w:val="22"/>
        </w:rPr>
        <w:t>：燃料乙醇需求稳定，但受制于粮食乙醇政策限制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• </w:t>
      </w:r>
      <w:r>
        <w:rPr>
          <w:rFonts w:ascii="Arial" w:hAnsi="Arial"/>
          <w:b/>
          <w:color w:val="1A1A1A"/>
          <w:sz w:val="22"/>
        </w:rPr>
        <w:t>氨基酸/赖氨酸</w:t>
      </w:r>
      <w:r>
        <w:rPr>
          <w:rFonts w:ascii="Arial" w:hAnsi="Arial"/>
          <w:color w:val="1A1A1A"/>
          <w:sz w:val="22"/>
        </w:rPr>
        <w:t>：出口需求向好，支撑深加工产能利用率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• </w:t>
      </w:r>
      <w:r>
        <w:rPr>
          <w:rFonts w:ascii="Arial" w:hAnsi="Arial"/>
          <w:color w:val="1A1A1A"/>
          <w:sz w:val="22"/>
        </w:rPr>
        <w:t>深加工总消费量预计稳中略增</w:t>
      </w:r>
    </w:p>
    <w:p>
      <w:pPr>
        <w:spacing w:before="160" w:after="80"/>
      </w:pPr>
      <w:r>
        <w:rPr>
          <w:rFonts w:ascii="Arial" w:hAnsi="Arial" w:eastAsia="Arial"/>
          <w:b/>
          <w:color w:val="1A1A1A"/>
          <w:sz w:val="26"/>
        </w:rPr>
        <w:t>（三）食用消费及其他（占比约5%）</w:t>
      </w:r>
    </w:p>
    <w:p>
      <w:pPr>
        <w:spacing w:before="60" w:after="60"/>
        <w:jc w:val="left"/>
      </w:pPr>
      <w:r>
        <w:rPr>
          <w:rFonts w:ascii="Arial" w:hAnsi="Arial"/>
          <w:color w:val="1A1A1A"/>
          <w:sz w:val="22"/>
        </w:rPr>
        <w:t>基本稳定，占比小，影响有限。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3.3 供需平衡表（估算）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2025年度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2026年度(预测)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同比变化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期初库存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约5,000万吨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约4,500万吨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-10%</w:t>
            </w:r>
          </w:p>
        </w:tc>
      </w:tr>
      <w:tr>
        <w:tc>
          <w:tcPr>
            <w:tcW w:type="dxa" w:w="234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国内产量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约28,900万吨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约29,200万吨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+1.0%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进口量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约1,200万吨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约1,000万吨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-16.7%</w:t>
            </w:r>
          </w:p>
        </w:tc>
      </w:tr>
      <w:tr>
        <w:tc>
          <w:tcPr>
            <w:tcW w:type="dxa" w:w="234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总供应量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约35,100万吨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34,700万吨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-1.1%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饲用消费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约19,800万吨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约20,200万吨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+2.0%</w:t>
            </w:r>
          </w:p>
        </w:tc>
      </w:tr>
      <w:tr>
        <w:tc>
          <w:tcPr>
            <w:tcW w:type="dxa" w:w="234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深加工消费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约8,500万吨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约8,600万吨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+1.2%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食用及其他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约1,200万吨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约1,200万吨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持平</w:t>
            </w:r>
          </w:p>
        </w:tc>
      </w:tr>
      <w:tr>
        <w:tc>
          <w:tcPr>
            <w:tcW w:type="dxa" w:w="234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出口/损耗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约100万吨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约100万吨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持平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期末库存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约4,500万吨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约3,600万吨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-20%</w:t>
            </w:r>
          </w:p>
        </w:tc>
      </w:tr>
      <w:tr>
        <w:tc>
          <w:tcPr>
            <w:tcW w:type="dxa" w:w="234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库消比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约15.3%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约12.0%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-3.3%</w:t>
            </w:r>
          </w:p>
        </w:tc>
      </w:tr>
    </w:tbl>
    <w:p/>
    <w:p>
      <w:pPr>
        <w:pBdr>
          <w:left w:val="single" w:sz="18" w:space="8" w:color="2C3E50"/>
        </w:pBdr>
        <w:spacing w:before="120" w:after="120"/>
        <w:ind w:left="567"/>
        <w:shd w:fill="F5F5F5" w:val="clear"/>
      </w:pPr>
      <w:r>
        <w:rPr>
          <w:rFonts w:ascii="Arial" w:hAnsi="Arial"/>
          <w:b/>
          <w:color w:val="1A1A1A"/>
          <w:sz w:val="22"/>
        </w:rPr>
        <w:t>注：</w:t>
      </w:r>
      <w:r>
        <w:rPr>
          <w:rFonts w:ascii="Arial" w:hAnsi="Arial"/>
          <w:color w:val="1A1A1A"/>
          <w:sz w:val="22"/>
        </w:rPr>
        <w:t xml:space="preserve"> 供需平衡表为基于公开数据的估算值，非官方数据。2025年度数据参考国家粮油信息中心公开信息推算。</w:t>
      </w:r>
    </w:p>
    <w:p>
      <w:pPr>
        <w:spacing w:before="60" w:after="60"/>
        <w:jc w:val="left"/>
      </w:pPr>
      <w:r>
        <w:rPr>
          <w:rFonts w:ascii="Arial" w:hAnsi="Arial"/>
          <w:b/>
          <w:color w:val="1A1A1A"/>
          <w:sz w:val="22"/>
        </w:rPr>
        <w:t>核心判断</w:t>
      </w:r>
      <w:r>
        <w:rPr>
          <w:rFonts w:ascii="Arial" w:hAnsi="Arial"/>
          <w:color w:val="1A1A1A"/>
          <w:sz w:val="22"/>
        </w:rPr>
        <w:t xml:space="preserve">：2026年度国内玉米市场 </w:t>
      </w:r>
      <w:r>
        <w:rPr>
          <w:rFonts w:ascii="Arial" w:hAnsi="Arial"/>
          <w:b/>
          <w:color w:val="1A1A1A"/>
          <w:sz w:val="22"/>
        </w:rPr>
        <w:t>供需格局偏紧</w:t>
      </w:r>
      <w:r>
        <w:rPr>
          <w:rFonts w:ascii="Arial" w:hAnsi="Arial"/>
          <w:color w:val="1A1A1A"/>
          <w:sz w:val="22"/>
        </w:rPr>
        <w:t>，产需缺口需通过库存消耗和进口弥补推动库存持续去化。</w:t>
      </w:r>
    </w:p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2C3E50"/>
        </w:pBdr>
        <w:spacing w:before="360" w:after="160"/>
      </w:pPr>
      <w:r>
        <w:rPr>
          <w:rFonts w:ascii="Arial" w:hAnsi="Arial" w:eastAsia="Arial"/>
          <w:b/>
          <w:color w:val="2C3E50"/>
          <w:sz w:val="36"/>
        </w:rPr>
        <w:t>四、价格驱动因素分析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4.1 利多因素（支撑价格上涨）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因素</w:t>
            </w:r>
          </w:p>
        </w:tc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影响程度</w:t>
            </w:r>
          </w:p>
        </w:tc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具体分析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渠道库存偏低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⭐⭐⭐⭐⭐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临储去库存完成，社会库存处于偏低水平，贸易商补库意愿强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饲用需求韧性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生猪和禽类存栏高位，饲料消费刚性增长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进口下降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⭐⭐⭐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国际价格高企及配额限制，进口量同比下降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种植成本支撑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地租、农资、人工成本居高不下，底部支撑明确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深加工需求增长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⭐⭐⭐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淀粉、氨基酸等行业产能持续扩张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国际市场联动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全球玉米供需偏紧，CBOT玉米维持高位</w:t>
            </w:r>
          </w:p>
        </w:tc>
      </w:tr>
    </w:tbl>
    <w:p/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4.2 利空因素（压制价格上涨）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因素</w:t>
            </w:r>
          </w:p>
        </w:tc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影响程度</w:t>
            </w:r>
          </w:p>
        </w:tc>
        <w:tc>
          <w:tcPr>
            <w:tcW w:type="dxa" w:w="312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具体分析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新作增产预期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⭐⭐⭐⭐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2026年新季玉米播种面积稳中有增，下半年供应将改善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政策调控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⭐⭐⭐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国家通过定向拍卖、进口调节等手段抑制价格过快上涨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替代品竞争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⭐⭐⭐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小麦、稻谷等替代品价格优势抑制玉米饲用需求上限</w:t>
            </w:r>
          </w:p>
        </w:tc>
      </w:tr>
      <w:tr>
        <w:tc>
          <w:tcPr>
            <w:tcW w:type="dxa" w:w="312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宏观需求疲软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⭐⭐</w:t>
            </w:r>
          </w:p>
        </w:tc>
        <w:tc>
          <w:tcPr>
            <w:tcW w:type="dxa" w:w="312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经济复苏节奏偏慢，消费恢复不及预期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猪周期下行风险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⭐⭐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1A1A1A"/>
                <w:sz w:val="20"/>
              </w:rPr>
              <w:t>若猪价持续低迷，养殖端去产能将抑制远期饲用需求</w:t>
            </w:r>
          </w:p>
        </w:tc>
      </w:tr>
    </w:tbl>
    <w:p/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4.3 近期关键事件（2026年4月）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1. </w:t>
      </w:r>
      <w:r>
        <w:rPr>
          <w:rFonts w:ascii="Arial" w:hAnsi="Arial"/>
          <w:b/>
          <w:color w:val="1A1A1A"/>
          <w:sz w:val="22"/>
        </w:rPr>
        <w:t>4月21-22日放量拉升</w:t>
      </w:r>
      <w:r>
        <w:rPr>
          <w:rFonts w:ascii="Arial" w:hAnsi="Arial"/>
          <w:color w:val="1A1A1A"/>
          <w:sz w:val="22"/>
        </w:rPr>
        <w:t>：C2607两日累计上涨约30元/吨，成交量从70万手放大至94万手，突破2,400关口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2. </w:t>
      </w:r>
      <w:r>
        <w:rPr>
          <w:rFonts w:ascii="Arial" w:hAnsi="Arial"/>
          <w:b/>
          <w:color w:val="1A1A1A"/>
          <w:sz w:val="22"/>
        </w:rPr>
        <w:t>港口库存变化</w:t>
      </w:r>
      <w:r>
        <w:rPr>
          <w:rFonts w:ascii="Arial" w:hAnsi="Arial"/>
          <w:color w:val="1A1A1A"/>
          <w:sz w:val="22"/>
        </w:rPr>
        <w:t>：北港（锦州港、鲅鱼圈）玉米库存小幅下降，南港（广东港）库存中等偏下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3. </w:t>
      </w:r>
      <w:r>
        <w:rPr>
          <w:rFonts w:ascii="Arial" w:hAnsi="Arial"/>
          <w:b/>
          <w:color w:val="1A1A1A"/>
          <w:sz w:val="22"/>
        </w:rPr>
        <w:t>深加工企业提价收购</w:t>
      </w:r>
      <w:r>
        <w:rPr>
          <w:rFonts w:ascii="Arial" w:hAnsi="Arial"/>
          <w:color w:val="1A1A1A"/>
          <w:sz w:val="22"/>
        </w:rPr>
        <w:t>：华北深加工企业连续上调挂牌价，提振市场信心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4. </w:t>
      </w:r>
      <w:r>
        <w:rPr>
          <w:rFonts w:ascii="Arial" w:hAnsi="Arial"/>
          <w:b/>
          <w:color w:val="1A1A1A"/>
          <w:sz w:val="22"/>
        </w:rPr>
        <w:t>市场情绪</w:t>
      </w:r>
      <w:r>
        <w:rPr>
          <w:rFonts w:ascii="Arial" w:hAnsi="Arial"/>
          <w:color w:val="1A1A1A"/>
          <w:sz w:val="22"/>
        </w:rPr>
        <w:t>：贸易商看涨预期浓厚，出货节奏偏慢，渠道囤货意愿增强</w:t>
      </w:r>
    </w:p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2C3E50"/>
        </w:pBdr>
        <w:spacing w:before="360" w:after="160"/>
      </w:pPr>
      <w:r>
        <w:rPr>
          <w:rFonts w:ascii="Arial" w:hAnsi="Arial" w:eastAsia="Arial"/>
          <w:b/>
          <w:color w:val="2C3E50"/>
          <w:sz w:val="36"/>
        </w:rPr>
        <w:t>五、价差与基差分析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5.1 合约间价差（跨期价差）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价差组合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当前值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合理区间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判断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C2607 - C2605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+25元/吨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+20~+40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正常</w:t>
            </w:r>
            <w:r>
              <w:rPr>
                <w:rFonts w:ascii="Arial" w:hAnsi="Arial"/>
                <w:color w:val="1A1A1A"/>
                <w:sz w:val="20"/>
              </w:rPr>
              <w:t>（持仓费水平）</w:t>
            </w:r>
          </w:p>
        </w:tc>
      </w:tr>
      <w:tr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C2609 - C2607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+4元/吨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0~+20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偏低</w:t>
            </w:r>
            <w:r>
              <w:rPr>
                <w:rFonts w:ascii="Arial" w:hAnsi="Arial"/>
                <w:color w:val="1A1A1A"/>
                <w:sz w:val="20"/>
              </w:rPr>
              <w:t>（近强远弱）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C2611 - C2609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-38元/吨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-40~-20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正常</w:t>
            </w:r>
            <w:r>
              <w:rPr>
                <w:rFonts w:ascii="Arial" w:hAnsi="Arial"/>
                <w:color w:val="1A1A1A"/>
                <w:sz w:val="20"/>
              </w:rPr>
              <w:t>（新作贴水）</w:t>
            </w:r>
          </w:p>
        </w:tc>
      </w:tr>
      <w:tr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C2701 - C2611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+7元/吨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0+15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正常</w:t>
            </w:r>
          </w:p>
        </w:tc>
      </w:tr>
    </w:tbl>
    <w:p/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5.2 区域价差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地区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现货价格(元/吨)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对期货价差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特征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黑龙江（产区）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2,200-2,280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贴水130-190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供应充足</w:t>
            </w:r>
          </w:p>
        </w:tc>
      </w:tr>
      <w:tr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吉林（产区）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2,260-2,340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贴水80-150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优质粮溢价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山东（销区）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2,380-2,460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贴水0-40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深加工需求旺</w:t>
            </w:r>
          </w:p>
        </w:tc>
      </w:tr>
      <w:tr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广东（销区）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2,460-2,520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升水50-100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进口到港成本</w:t>
            </w:r>
          </w:p>
        </w:tc>
      </w:tr>
    </w:tbl>
    <w:p/>
    <w:p>
      <w:pPr>
        <w:pBdr>
          <w:left w:val="single" w:sz="18" w:space="8" w:color="2C3E50"/>
        </w:pBdr>
        <w:spacing w:before="120" w:after="120"/>
        <w:ind w:left="567"/>
        <w:shd w:fill="F5F5F5" w:val="clear"/>
      </w:pPr>
      <w:r>
        <w:rPr>
          <w:rFonts w:ascii="Arial" w:hAnsi="Arial"/>
          <w:b/>
          <w:color w:val="1A1A1A"/>
          <w:sz w:val="22"/>
        </w:rPr>
        <w:t>数据来源：</w:t>
      </w:r>
      <w:r>
        <w:rPr>
          <w:rFonts w:ascii="Arial" w:hAnsi="Arial"/>
          <w:color w:val="1A1A1A"/>
          <w:sz w:val="22"/>
        </w:rPr>
        <w:t xml:space="preserve"> 各主要产销区现货报价区间综合整理</w:t>
      </w:r>
    </w:p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2C3E50"/>
        </w:pBdr>
        <w:spacing w:before="360" w:after="160"/>
      </w:pPr>
      <w:r>
        <w:rPr>
          <w:rFonts w:ascii="Arial" w:hAnsi="Arial" w:eastAsia="Arial"/>
          <w:b/>
          <w:color w:val="2C3E50"/>
          <w:sz w:val="36"/>
        </w:rPr>
        <w:t>六、后市展望与判断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6.1 短期（2026年5-6月）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情景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概率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价格区间(元/吨)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核心逻辑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基准情景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60%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2,350~2,450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现货紧张与政策调控博弈，高位震荡</w:t>
            </w:r>
          </w:p>
        </w:tc>
      </w:tr>
      <w:tr>
        <w:tc>
          <w:tcPr>
            <w:tcW w:type="dxa" w:w="234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乐观情景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20%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2,450~2,500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饲用需求超预期、进口大幅下降、天气升水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悲观情景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20%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2,250~2,350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新作增产显著、进口到港增加、需求不及预期</w:t>
            </w:r>
          </w:p>
        </w:tc>
      </w:tr>
    </w:tbl>
    <w:p/>
    <w:p>
      <w:pPr>
        <w:spacing w:before="60" w:after="60"/>
        <w:jc w:val="left"/>
      </w:pPr>
      <w:r>
        <w:rPr>
          <w:rFonts w:ascii="Arial" w:hAnsi="Arial"/>
          <w:b/>
          <w:color w:val="1A1A1A"/>
          <w:sz w:val="22"/>
        </w:rPr>
        <w:t>短期关键观察点：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1. </w:t>
      </w:r>
      <w:r>
        <w:rPr>
          <w:rFonts w:ascii="Arial" w:hAnsi="Arial"/>
          <w:color w:val="1A1A1A"/>
          <w:sz w:val="22"/>
        </w:rPr>
        <w:t>5月19日C2605合约最后交易日，交割情况反映现货紧张程度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2. </w:t>
      </w:r>
      <w:r>
        <w:rPr>
          <w:rFonts w:ascii="Arial" w:hAnsi="Arial"/>
          <w:color w:val="1A1A1A"/>
          <w:sz w:val="22"/>
        </w:rPr>
        <w:t>东北春播进度和天气情况对远月合约的影响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3. </w:t>
      </w:r>
      <w:r>
        <w:rPr>
          <w:rFonts w:ascii="Arial" w:hAnsi="Arial"/>
          <w:color w:val="1A1A1A"/>
          <w:sz w:val="22"/>
        </w:rPr>
        <w:t>深加工企业开工率及库存变化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6.2 中期（2026年7-9月）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• </w:t>
      </w:r>
      <w:r>
        <w:rPr>
          <w:rFonts w:ascii="Arial" w:hAnsi="Arial"/>
          <w:color w:val="1A1A1A"/>
          <w:sz w:val="22"/>
        </w:rPr>
        <w:t xml:space="preserve">新季玉米上市前为 </w:t>
      </w:r>
      <w:r>
        <w:rPr>
          <w:rFonts w:ascii="Arial" w:hAnsi="Arial"/>
          <w:b/>
          <w:color w:val="1A1A1A"/>
          <w:sz w:val="22"/>
        </w:rPr>
        <w:t>传统青黄不接期</w:t>
      </w:r>
      <w:r>
        <w:rPr>
          <w:rFonts w:ascii="Arial" w:hAnsi="Arial"/>
          <w:color w:val="1A1A1A"/>
          <w:sz w:val="22"/>
        </w:rPr>
        <w:t>，供应偏紧格局难以根本改变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• </w:t>
      </w:r>
      <w:r>
        <w:rPr>
          <w:rFonts w:ascii="Arial" w:hAnsi="Arial"/>
          <w:color w:val="1A1A1A"/>
          <w:sz w:val="22"/>
        </w:rPr>
        <w:t>C2607合约作为主力合约，2,350-2,450为主要波动区间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• </w:t>
      </w:r>
      <w:r>
        <w:rPr>
          <w:rFonts w:ascii="Arial" w:hAnsi="Arial"/>
          <w:color w:val="1A1A1A"/>
          <w:sz w:val="22"/>
        </w:rPr>
        <w:t>需关注：国家储备玉米投放节奏和力度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6.3 远期（2026年10月以后）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• </w:t>
      </w:r>
      <w:r>
        <w:rPr>
          <w:rFonts w:ascii="Arial" w:hAnsi="Arial"/>
          <w:color w:val="1A1A1A"/>
          <w:sz w:val="22"/>
        </w:rPr>
        <w:t>新作上市后供应改善，远月合约（C2611、C2701）已提前反映贴水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• </w:t>
      </w:r>
      <w:r>
        <w:rPr>
          <w:rFonts w:ascii="Arial" w:hAnsi="Arial"/>
          <w:color w:val="1A1A1A"/>
          <w:sz w:val="22"/>
        </w:rPr>
        <w:t>新作产量是关键变量，需持续跟踪面积和天气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• </w:t>
      </w:r>
      <w:r>
        <w:rPr>
          <w:rFonts w:ascii="Arial" w:hAnsi="Arial"/>
          <w:color w:val="1A1A1A"/>
          <w:sz w:val="22"/>
        </w:rPr>
        <w:t>若产量正常，价格中枢预计下移至</w:t>
      </w:r>
      <w:r>
        <w:rPr>
          <w:rFonts w:ascii="Arial" w:hAnsi="Arial"/>
          <w:b/>
          <w:color w:val="1A1A1A"/>
          <w:sz w:val="22"/>
        </w:rPr>
        <w:t>2,200-2,350元/吨</w:t>
      </w:r>
    </w:p>
    <w:p>
      <w:pPr>
        <w:spacing w:before="240" w:after="120"/>
      </w:pPr>
      <w:r>
        <w:rPr>
          <w:rFonts w:ascii="Arial" w:hAnsi="Arial" w:eastAsia="Arial"/>
          <w:b/>
          <w:color w:val="7F8C8D"/>
          <w:sz w:val="30"/>
        </w:rPr>
        <w:t>6.4 年度价格中枢判断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时间段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预计主力合约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价格中枢(元/吨)</w:t>
            </w:r>
          </w:p>
        </w:tc>
        <w:tc>
          <w:tcPr>
            <w:tcW w:type="dxa" w:w="2340"/>
            <w:shd w:fill="2C3E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主要矛盾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2026年Q1（已实现）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C2605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2,286~2,393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库存去化启动</w:t>
            </w:r>
          </w:p>
        </w:tc>
      </w:tr>
      <w:tr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2026年Q2（预判）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C2607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2,350~2,450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供需偏紧+政策博弈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2026年Q3（预判）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C2609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2,300~2,400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1A1A1A"/>
                <w:sz w:val="20"/>
              </w:rPr>
              <w:t>青黄不接+新作预期</w:t>
            </w:r>
          </w:p>
        </w:tc>
      </w:tr>
      <w:tr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2026年Q4（预判）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C2611/C2701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2,150~2,350</w:t>
            </w:r>
          </w:p>
        </w:tc>
        <w:tc>
          <w:tcPr>
            <w:tcW w:type="dxa" w:w="2340"/>
            <w:shd w:fill="F8F9FA"/>
          </w:tcPr>
          <w:p>
            <w:r>
              <w:rPr>
                <w:rFonts w:ascii="Arial" w:hAnsi="Arial"/>
                <w:color w:val="1A1A1A"/>
                <w:sz w:val="20"/>
              </w:rPr>
              <w:t>新作上市+增产预期</w:t>
            </w:r>
          </w:p>
        </w:tc>
      </w:tr>
    </w:tbl>
    <w:p/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2C3E50"/>
        </w:pBdr>
        <w:spacing w:before="360" w:after="160"/>
      </w:pPr>
      <w:r>
        <w:rPr>
          <w:rFonts w:ascii="Arial" w:hAnsi="Arial" w:eastAsia="Arial"/>
          <w:b/>
          <w:color w:val="2C3E50"/>
          <w:sz w:val="36"/>
        </w:rPr>
        <w:t>七、风险提示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1. </w:t>
      </w:r>
      <w:r>
        <w:rPr>
          <w:rFonts w:ascii="Arial" w:hAnsi="Arial"/>
          <w:b/>
          <w:color w:val="1A1A1A"/>
          <w:sz w:val="22"/>
        </w:rPr>
        <w:t>政策风险</w:t>
      </w:r>
      <w:r>
        <w:rPr>
          <w:rFonts w:ascii="Arial" w:hAnsi="Arial"/>
          <w:color w:val="1A1A1A"/>
          <w:sz w:val="22"/>
        </w:rPr>
        <w:t>：国家可能通过增加进口配额、定向销售储备等方式平抑价格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2. </w:t>
      </w:r>
      <w:r>
        <w:rPr>
          <w:rFonts w:ascii="Arial" w:hAnsi="Arial"/>
          <w:b/>
          <w:color w:val="1A1A1A"/>
          <w:sz w:val="22"/>
        </w:rPr>
        <w:t>天气风险</w:t>
      </w:r>
      <w:r>
        <w:rPr>
          <w:rFonts w:ascii="Arial" w:hAnsi="Arial"/>
          <w:color w:val="1A1A1A"/>
          <w:sz w:val="22"/>
        </w:rPr>
        <w:t>：东北春旱、夏涝等极端天气对新作产量的影响具有重大不确定性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3. </w:t>
      </w:r>
      <w:r>
        <w:rPr>
          <w:rFonts w:ascii="Arial" w:hAnsi="Arial"/>
          <w:b/>
          <w:color w:val="1A1A1A"/>
          <w:sz w:val="22"/>
        </w:rPr>
        <w:t>国际市场风险</w:t>
      </w:r>
      <w:r>
        <w:rPr>
          <w:rFonts w:ascii="Arial" w:hAnsi="Arial"/>
          <w:color w:val="1A1A1A"/>
          <w:sz w:val="22"/>
        </w:rPr>
        <w:t>：CBOT玉米价格、国际贸易摩擦、汇率变动等因素影响进口成本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4. </w:t>
      </w:r>
      <w:r>
        <w:rPr>
          <w:rFonts w:ascii="Arial" w:hAnsi="Arial"/>
          <w:b/>
          <w:color w:val="1A1A1A"/>
          <w:sz w:val="22"/>
        </w:rPr>
        <w:t>替代品风险</w:t>
      </w:r>
      <w:r>
        <w:rPr>
          <w:rFonts w:ascii="Arial" w:hAnsi="Arial"/>
          <w:color w:val="1A1A1A"/>
          <w:sz w:val="22"/>
        </w:rPr>
        <w:t>：小麦、稻谷等替代品与玉米比价关系的变化可能改变饲用配方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5. </w:t>
      </w:r>
      <w:r>
        <w:rPr>
          <w:rFonts w:ascii="Arial" w:hAnsi="Arial"/>
          <w:b/>
          <w:color w:val="1A1A1A"/>
          <w:sz w:val="22"/>
        </w:rPr>
        <w:t>疫情/疫病风险</w:t>
      </w:r>
      <w:r>
        <w:rPr>
          <w:rFonts w:ascii="Arial" w:hAnsi="Arial"/>
          <w:color w:val="1A1A1A"/>
          <w:sz w:val="22"/>
        </w:rPr>
        <w:t>：非洲猪瘟等疫病暴发可能导致饲用需求骤降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6. </w:t>
      </w:r>
      <w:r>
        <w:rPr>
          <w:rFonts w:ascii="Arial" w:hAnsi="Arial"/>
          <w:b/>
          <w:color w:val="1A1A1A"/>
          <w:sz w:val="22"/>
        </w:rPr>
        <w:t>数据局限性</w:t>
      </w:r>
      <w:r>
        <w:rPr>
          <w:rFonts w:ascii="Arial" w:hAnsi="Arial"/>
          <w:color w:val="1A1A1A"/>
          <w:sz w:val="22"/>
        </w:rPr>
        <w:t>：本报告供需平衡表数据为估算值，可能与官方最终数据存在差异</w:t>
      </w:r>
    </w:p>
    <w:p>
      <w:pPr>
        <w:spacing w:before="120" w:after="120"/>
      </w:pPr>
      <w:r>
        <w:rPr>
          <w:color w:val="7F8C8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60" w:after="60"/>
        <w:jc w:val="left"/>
      </w:pPr>
      <w:r>
        <w:rPr>
          <w:rFonts w:ascii="Arial" w:hAnsi="Arial"/>
          <w:b/>
          <w:color w:val="1A1A1A"/>
          <w:sz w:val="22"/>
        </w:rPr>
        <w:t>数据来源说明：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• </w:t>
      </w:r>
      <w:r>
        <w:rPr>
          <w:rFonts w:ascii="Arial" w:hAnsi="Arial"/>
          <w:color w:val="1A1A1A"/>
          <w:sz w:val="22"/>
        </w:rPr>
        <w:t>期货价格数据：大连商品交易所（DCE），通过新浪财经公开行情接口获取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• </w:t>
      </w:r>
      <w:r>
        <w:rPr>
          <w:rFonts w:ascii="Arial" w:hAnsi="Arial"/>
          <w:color w:val="1A1A1A"/>
          <w:sz w:val="22"/>
        </w:rPr>
        <w:t>数据时间范围：2025年7月至2026年4月24日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2C3E50"/>
          <w:sz w:val="22"/>
        </w:rPr>
        <w:t xml:space="preserve">• </w:t>
      </w:r>
      <w:r>
        <w:rPr>
          <w:rFonts w:ascii="Arial" w:hAnsi="Arial"/>
          <w:color w:val="1A1A1A"/>
          <w:sz w:val="22"/>
        </w:rPr>
        <w:t>供需基本面数据：根据国家粮油信息中心、农业农村部等公开信息综合推算</w:t>
      </w:r>
    </w:p>
    <w:p>
      <w:pPr>
        <w:spacing w:before="60" w:after="60"/>
        <w:jc w:val="left"/>
      </w:pPr>
      <w:r>
        <w:rPr>
          <w:rFonts w:ascii="Arial" w:hAnsi="Arial"/>
          <w:b/>
          <w:color w:val="1A1A1A"/>
          <w:sz w:val="22"/>
        </w:rPr>
        <w:t>免责声明：</w:t>
      </w:r>
      <w:r>
        <w:rPr>
          <w:rFonts w:ascii="Arial" w:hAnsi="Arial"/>
          <w:color w:val="1A1A1A"/>
          <w:sz w:val="22"/>
        </w:rPr>
        <w:t xml:space="preserve"> 本报告仅为市场分析参考，不构成任何投资建议。期货交易有风险，入市需谨慎。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