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480" w:line="360" w:lineRule="auto"/>
        <w:jc w:val="center"/>
      </w:pPr>
      <w:r>
        <w:rPr>
          <w:rFonts w:ascii="方正小标宋体" w:hAnsi="方正小标宋体" w:eastAsia="方正小标宋体"/>
          <w:b/>
          <w:sz w:val="52"/>
        </w:rPr>
        <w:t>国内再保险市场深度调研报告</w:t>
      </w:r>
    </w:p>
    <w:p>
      <w:pPr>
        <w:spacing w:before="120" w:after="120"/>
        <w:jc w:val="center"/>
      </w:pPr>
      <w:r>
        <w:rPr>
          <w:rFonts w:ascii="方正小标宋体" w:hAnsi="方正小标宋体" w:eastAsia="方正小标宋体"/>
          <w:sz w:val="20"/>
        </w:rPr>
        <w:t>────────────────────────────────────────────────────────────</w:t>
      </w:r>
    </w:p>
    <w:p>
      <w:pPr>
        <w:spacing w:before="240" w:after="120"/>
        <w:jc w:val="center"/>
      </w:pPr>
      <w:r>
        <w:rPr>
          <w:rFonts w:ascii="仿宋_GB2312" w:hAnsi="仿宋_GB2312" w:eastAsia="仿宋_GB2312"/>
          <w:sz w:val="32"/>
        </w:rPr>
        <w:t>调研工作组</w:t>
      </w:r>
    </w:p>
    <w:p>
      <w:pPr>
        <w:spacing w:before="120" w:after="120"/>
        <w:jc w:val="center"/>
      </w:pPr>
      <w:r>
        <w:rPr>
          <w:rFonts w:ascii="仿宋_GB2312" w:hAnsi="仿宋_GB2312" w:eastAsia="仿宋_GB2312"/>
          <w:sz w:val="32"/>
        </w:rPr>
        <w:t>2026年04月26日</w:t>
      </w:r>
    </w:p>
    <w:p>
      <w:r>
        <w:br w:type="page"/>
      </w:r>
    </w:p>
    <w:p>
      <w:pPr>
        <w:spacing w:line="360" w:lineRule="auto" w:before="240" w:after="120"/>
        <w:jc w:val="center"/>
      </w:pPr>
      <w:r>
        <w:rPr>
          <w:rFonts w:ascii="方正小标宋体" w:hAnsi="方正小标宋体" w:eastAsia="方正小标宋体"/>
          <w:sz w:val="44"/>
        </w:rPr>
        <w:t>国内再保险市场深度调研报告</w:t>
      </w:r>
    </w:p>
    <w:p>
      <w:pPr>
        <w:spacing w:line="360" w:lineRule="auto"/>
        <w:ind w:firstLine="420"/>
        <w:jc w:val="both"/>
      </w:pPr>
      <w:r>
        <w:rPr>
          <w:rFonts w:ascii="仿宋_GB2312" w:hAnsi="仿宋_GB2312" w:eastAsia="仿宋_GB2312"/>
          <w:b/>
          <w:sz w:val="32"/>
        </w:rPr>
        <w:t>报告日期：</w:t>
      </w:r>
      <w:r>
        <w:rPr>
          <w:rFonts w:ascii="仿宋_GB2312" w:hAnsi="仿宋_GB2312" w:eastAsia="仿宋_GB2312"/>
          <w:sz w:val="32"/>
        </w:rPr>
        <w:t xml:space="preserve"> 2026年4月26日</w:t>
      </w:r>
    </w:p>
    <w:p>
      <w:pPr>
        <w:spacing w:line="360" w:lineRule="auto"/>
        <w:ind w:firstLine="420"/>
        <w:jc w:val="both"/>
      </w:pPr>
      <w:r>
        <w:rPr>
          <w:rFonts w:ascii="仿宋_GB2312" w:hAnsi="仿宋_GB2312" w:eastAsia="仿宋_GB2312"/>
          <w:b/>
          <w:sz w:val="32"/>
        </w:rPr>
        <w:t>调研范围：</w:t>
      </w:r>
      <w:r>
        <w:rPr>
          <w:rFonts w:ascii="仿宋_GB2312" w:hAnsi="仿宋_GB2312" w:eastAsia="仿宋_GB2312"/>
          <w:sz w:val="32"/>
        </w:rPr>
        <w:t xml:space="preserve"> 国内主要再保险公司经营策略、市场偏好、未来1-3年发展方向</w:t>
      </w:r>
    </w:p>
    <w:p>
      <w:pPr>
        <w:spacing w:line="360" w:lineRule="auto"/>
        <w:ind w:firstLine="420"/>
        <w:jc w:val="both"/>
      </w:pPr>
      <w:r>
        <w:rPr>
          <w:rFonts w:ascii="仿宋_GB2312" w:hAnsi="仿宋_GB2312" w:eastAsia="仿宋_GB2312"/>
          <w:b/>
          <w:sz w:val="32"/>
        </w:rPr>
        <w:t>调研方式：</w:t>
      </w:r>
      <w:r>
        <w:rPr>
          <w:rFonts w:ascii="仿宋_GB2312" w:hAnsi="仿宋_GB2312" w:eastAsia="仿宋_GB2312"/>
          <w:sz w:val="32"/>
        </w:rPr>
        <w:t xml:space="preserve"> 官网数据采集 + 公开政策文件 + 行业信息综合研判</w:t>
      </w:r>
    </w:p>
    <w:p>
      <w:pPr>
        <w:spacing w:line="360" w:lineRule="auto"/>
        <w:ind w:firstLine="420"/>
        <w:jc w:val="both"/>
      </w:pPr>
      <w:r>
        <w:rPr>
          <w:rFonts w:ascii="仿宋_GB2312" w:hAnsi="仿宋_GB2312" w:eastAsia="仿宋_GB2312"/>
          <w:b/>
          <w:sz w:val="32"/>
        </w:rPr>
        <w:t>文件夹编号：</w:t>
      </w:r>
      <w:r>
        <w:rPr>
          <w:rFonts w:ascii="仿宋_GB2312" w:hAnsi="仿宋_GB2312" w:eastAsia="仿宋_GB2312"/>
          <w:sz w:val="32"/>
        </w:rPr>
        <w:t xml:space="preserve"> 2026-04-26 国内再保险市场深度调研</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一、中国再保险市场概</w:t>
      </w:r>
    </w:p>
    <w:p>
      <w:pPr>
        <w:spacing w:line="360" w:lineRule="auto" w:before="240" w:after="120"/>
        <w:ind w:firstLine="420"/>
        <w:jc w:val="left"/>
      </w:pPr>
      <w:r>
        <w:rPr>
          <w:rFonts w:ascii="楷体" w:hAnsi="楷体" w:eastAsia="楷体"/>
          <w:b/>
          <w:sz w:val="32"/>
        </w:rPr>
        <w:t>1.1 市场格局</w:t>
      </w:r>
    </w:p>
    <w:p>
      <w:pPr>
        <w:spacing w:line="360" w:lineRule="auto"/>
        <w:ind w:firstLine="420"/>
        <w:jc w:val="both"/>
      </w:pPr>
      <w:r>
        <w:rPr>
          <w:rFonts w:ascii="仿宋_GB2312" w:hAnsi="仿宋_GB2312" w:eastAsia="仿宋_GB2312"/>
          <w:sz w:val="32"/>
        </w:rPr>
        <w:t xml:space="preserve">中国再保险市场经过多年发展，形成了 </w:t>
      </w:r>
      <w:r>
        <w:rPr>
          <w:rFonts w:ascii="仿宋_GB2312" w:hAnsi="仿宋_GB2312" w:eastAsia="仿宋_GB2312"/>
          <w:b/>
          <w:sz w:val="32"/>
        </w:rPr>
        <w:t>"1+N"</w:t>
      </w:r>
      <w:r>
        <w:rPr>
          <w:rFonts w:ascii="仿宋_GB2312" w:hAnsi="仿宋_GB2312" w:eastAsia="仿宋_GB2312"/>
          <w:sz w:val="32"/>
        </w:rPr>
        <w:t xml:space="preserve"> 的市场格局，即以中再集团为绝对龙头、内外资再保险共同发展的局面。</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36"/>
        <w:gridCol w:w="1836"/>
        <w:gridCol w:w="1836"/>
        <w:gridCol w:w="1836"/>
        <w:gridCol w:w="1836"/>
      </w:tblGrid>
      <w:tr>
        <w:tc>
          <w:tcPr>
            <w:tcW w:type="dxa" w:w="1836"/>
            <w:shd w:fill="000000"/>
            <w:vAlign w:val="center"/>
          </w:tcPr>
          <w:p>
            <w:pPr>
              <w:spacing w:before="60" w:after="60"/>
              <w:jc w:val="center"/>
            </w:pPr>
            <w:r>
              <w:rPr>
                <w:rFonts w:ascii="仿宋_GB2312" w:hAnsi="仿宋_GB2312" w:eastAsia="仿宋_GB2312"/>
                <w:b/>
                <w:color w:val="FFFFFF"/>
                <w:sz w:val="28"/>
              </w:rPr>
              <w:t>层级</w:t>
            </w:r>
          </w:p>
        </w:tc>
        <w:tc>
          <w:tcPr>
            <w:tcW w:type="dxa" w:w="1836"/>
            <w:shd w:fill="000000"/>
            <w:vAlign w:val="center"/>
          </w:tcPr>
          <w:p>
            <w:pPr>
              <w:spacing w:before="60" w:after="60"/>
              <w:jc w:val="center"/>
            </w:pPr>
            <w:r>
              <w:rPr>
                <w:rFonts w:ascii="仿宋_GB2312" w:hAnsi="仿宋_GB2312" w:eastAsia="仿宋_GB2312"/>
                <w:b/>
                <w:color w:val="FFFFFF"/>
                <w:sz w:val="28"/>
              </w:rPr>
              <w:t>机构</w:t>
            </w:r>
          </w:p>
        </w:tc>
        <w:tc>
          <w:tcPr>
            <w:tcW w:type="dxa" w:w="1836"/>
            <w:shd w:fill="000000"/>
            <w:vAlign w:val="center"/>
          </w:tcPr>
          <w:p>
            <w:pPr>
              <w:spacing w:before="60" w:after="60"/>
              <w:jc w:val="center"/>
            </w:pPr>
            <w:r>
              <w:rPr>
                <w:rFonts w:ascii="仿宋_GB2312" w:hAnsi="仿宋_GB2312" w:eastAsia="仿宋_GB2312"/>
                <w:b/>
                <w:color w:val="FFFFFF"/>
                <w:sz w:val="28"/>
              </w:rPr>
              <w:t>性质</w:t>
            </w:r>
          </w:p>
        </w:tc>
        <w:tc>
          <w:tcPr>
            <w:tcW w:type="dxa" w:w="1836"/>
            <w:shd w:fill="000000"/>
            <w:vAlign w:val="center"/>
          </w:tcPr>
          <w:p>
            <w:pPr>
              <w:spacing w:before="60" w:after="60"/>
              <w:jc w:val="center"/>
            </w:pPr>
            <w:r>
              <w:rPr>
                <w:rFonts w:ascii="仿宋_GB2312" w:hAnsi="仿宋_GB2312" w:eastAsia="仿宋_GB2312"/>
                <w:b/>
                <w:color w:val="FFFFFF"/>
                <w:sz w:val="28"/>
              </w:rPr>
              <w:t>2025年保费收入（估算）</w:t>
            </w:r>
          </w:p>
        </w:tc>
        <w:tc>
          <w:tcPr>
            <w:tcW w:type="dxa" w:w="1836"/>
            <w:shd w:fill="000000"/>
            <w:vAlign w:val="center"/>
          </w:tcPr>
          <w:p>
            <w:pPr>
              <w:spacing w:before="60" w:after="60"/>
              <w:jc w:val="center"/>
            </w:pPr>
            <w:r>
              <w:rPr>
                <w:rFonts w:ascii="仿宋_GB2312" w:hAnsi="仿宋_GB2312" w:eastAsia="仿宋_GB2312"/>
                <w:b/>
                <w:color w:val="FFFFFF"/>
                <w:sz w:val="28"/>
              </w:rPr>
              <w:t>参考来源</w:t>
            </w:r>
          </w:p>
        </w:tc>
      </w:tr>
      <w:tr>
        <w:tc>
          <w:tcPr>
            <w:tcW w:type="dxa" w:w="1836"/>
            <w:vAlign w:val="center"/>
          </w:tcPr>
          <w:p>
            <w:pPr>
              <w:spacing w:before="60" w:after="60"/>
              <w:jc w:val="center"/>
            </w:pPr>
            <w:r>
              <w:rPr>
                <w:rFonts w:ascii="仿宋_GB2312" w:hAnsi="仿宋_GB2312" w:eastAsia="仿宋_GB2312"/>
                <w:b/>
                <w:sz w:val="28"/>
              </w:rPr>
              <w:t>第一梯队</w:t>
            </w:r>
          </w:p>
        </w:tc>
        <w:tc>
          <w:tcPr>
            <w:tcW w:type="dxa" w:w="1836"/>
            <w:vAlign w:val="center"/>
          </w:tcPr>
          <w:p>
            <w:pPr>
              <w:spacing w:before="60" w:after="60"/>
              <w:jc w:val="center"/>
            </w:pPr>
            <w:r>
              <w:rPr>
                <w:rFonts w:ascii="仿宋_GB2312" w:hAnsi="仿宋_GB2312" w:eastAsia="仿宋_GB2312"/>
                <w:sz w:val="28"/>
              </w:rPr>
              <w:t>中再集团（中再产险+中再寿险）</w:t>
            </w:r>
          </w:p>
        </w:tc>
        <w:tc>
          <w:tcPr>
            <w:tcW w:type="dxa" w:w="1836"/>
            <w:vAlign w:val="center"/>
          </w:tcPr>
          <w:p>
            <w:pPr>
              <w:spacing w:before="60" w:after="60"/>
              <w:jc w:val="center"/>
            </w:pPr>
            <w:r>
              <w:rPr>
                <w:rFonts w:ascii="仿宋_GB2312" w:hAnsi="仿宋_GB2312" w:eastAsia="仿宋_GB2312"/>
                <w:sz w:val="28"/>
              </w:rPr>
              <w:t>国有控股</w:t>
            </w:r>
          </w:p>
        </w:tc>
        <w:tc>
          <w:tcPr>
            <w:tcW w:type="dxa" w:w="1836"/>
            <w:vAlign w:val="center"/>
          </w:tcPr>
          <w:p>
            <w:pPr>
              <w:spacing w:before="60" w:after="60"/>
              <w:jc w:val="center"/>
            </w:pPr>
            <w:r>
              <w:rPr>
                <w:rFonts w:ascii="仿宋_GB2312" w:hAnsi="仿宋_GB2312" w:eastAsia="仿宋_GB2312"/>
                <w:sz w:val="28"/>
              </w:rPr>
              <w:t>~1,803.68亿元（集团合并总保费）</w:t>
            </w:r>
          </w:p>
        </w:tc>
        <w:tc>
          <w:tcPr>
            <w:tcW w:type="dxa" w:w="1836"/>
            <w:vAlign w:val="center"/>
          </w:tcPr>
          <w:p>
            <w:pPr>
              <w:spacing w:before="60" w:after="60"/>
              <w:jc w:val="center"/>
            </w:pPr>
            <w:r>
              <w:rPr>
                <w:rFonts w:ascii="仿宋_GB2312" w:hAnsi="仿宋_GB2312" w:eastAsia="仿宋_GB2312"/>
                <w:sz w:val="28"/>
              </w:rPr>
              <w:t>【附件2】</w:t>
            </w:r>
          </w:p>
        </w:tc>
      </w:tr>
      <w:tr>
        <w:tc>
          <w:tcPr>
            <w:tcW w:type="dxa" w:w="1836"/>
            <w:vAlign w:val="center"/>
            <w:shd w:fill="F5F5F5"/>
          </w:tcPr>
          <w:p>
            <w:pPr>
              <w:spacing w:before="60" w:after="60"/>
              <w:jc w:val="center"/>
            </w:pPr>
            <w:r>
              <w:rPr>
                <w:rFonts w:ascii="仿宋_GB2312" w:hAnsi="仿宋_GB2312" w:eastAsia="仿宋_GB2312"/>
                <w:b/>
                <w:sz w:val="28"/>
              </w:rPr>
              <w:t>第二梯队</w:t>
            </w:r>
          </w:p>
        </w:tc>
        <w:tc>
          <w:tcPr>
            <w:tcW w:type="dxa" w:w="1836"/>
            <w:vAlign w:val="center"/>
            <w:shd w:fill="F5F5F5"/>
          </w:tcPr>
          <w:p>
            <w:pPr>
              <w:spacing w:before="60" w:after="60"/>
              <w:jc w:val="center"/>
            </w:pPr>
            <w:r>
              <w:rPr>
                <w:rFonts w:ascii="仿宋_GB2312" w:hAnsi="仿宋_GB2312" w:eastAsia="仿宋_GB2312"/>
                <w:sz w:val="28"/>
              </w:rPr>
              <w:t>太平再保险</w:t>
            </w:r>
          </w:p>
        </w:tc>
        <w:tc>
          <w:tcPr>
            <w:tcW w:type="dxa" w:w="1836"/>
            <w:vAlign w:val="center"/>
            <w:shd w:fill="F5F5F5"/>
          </w:tcPr>
          <w:p>
            <w:pPr>
              <w:spacing w:before="60" w:after="60"/>
              <w:jc w:val="center"/>
            </w:pPr>
            <w:r>
              <w:rPr>
                <w:rFonts w:ascii="仿宋_GB2312" w:hAnsi="仿宋_GB2312" w:eastAsia="仿宋_GB2312"/>
                <w:sz w:val="28"/>
              </w:rPr>
              <w:t>国有（中国太平集团）</w:t>
            </w:r>
          </w:p>
        </w:tc>
        <w:tc>
          <w:tcPr>
            <w:tcW w:type="dxa" w:w="1836"/>
            <w:vAlign w:val="center"/>
            <w:shd w:fill="F5F5F5"/>
          </w:tcPr>
          <w:p>
            <w:pPr>
              <w:spacing w:before="60" w:after="60"/>
              <w:jc w:val="center"/>
            </w:pPr>
            <w:r>
              <w:rPr>
                <w:rFonts w:ascii="仿宋_GB2312" w:hAnsi="仿宋_GB2312" w:eastAsia="仿宋_GB2312"/>
                <w:sz w:val="28"/>
              </w:rPr>
              <w:t>~60-80亿港元</w:t>
            </w:r>
          </w:p>
        </w:tc>
        <w:tc>
          <w:tcPr>
            <w:tcW w:type="dxa" w:w="1836"/>
            <w:vAlign w:val="center"/>
            <w:shd w:fill="F5F5F5"/>
          </w:tcPr>
          <w:p>
            <w:pPr>
              <w:spacing w:before="60" w:after="60"/>
              <w:jc w:val="center"/>
            </w:pPr>
            <w:r>
              <w:rPr>
                <w:rFonts w:ascii="仿宋_GB2312" w:hAnsi="仿宋_GB2312" w:eastAsia="仿宋_GB2312"/>
                <w:sz w:val="28"/>
              </w:rPr>
              <w:t>【附件10】</w:t>
            </w:r>
          </w:p>
        </w:tc>
      </w:tr>
      <w:tr>
        <w:tc>
          <w:tcPr>
            <w:tcW w:type="dxa" w:w="1836"/>
            <w:vAlign w:val="center"/>
          </w:tcPr>
          <w:p>
            <w:pPr>
              <w:spacing w:before="60" w:after="60"/>
              <w:jc w:val="center"/>
            </w:pPr>
            <w:r>
              <w:rPr>
                <w:rFonts w:ascii="仿宋_GB2312" w:hAnsi="仿宋_GB2312" w:eastAsia="仿宋_GB2312"/>
                <w:b/>
                <w:sz w:val="28"/>
              </w:rPr>
              <w:t>第二梯队</w:t>
            </w:r>
          </w:p>
        </w:tc>
        <w:tc>
          <w:tcPr>
            <w:tcW w:type="dxa" w:w="1836"/>
            <w:vAlign w:val="center"/>
          </w:tcPr>
          <w:p>
            <w:pPr>
              <w:spacing w:before="60" w:after="60"/>
              <w:jc w:val="center"/>
            </w:pPr>
            <w:r>
              <w:rPr>
                <w:rFonts w:ascii="仿宋_GB2312" w:hAnsi="仿宋_GB2312" w:eastAsia="仿宋_GB2312"/>
                <w:sz w:val="28"/>
              </w:rPr>
              <w:t>人保再保险</w:t>
            </w:r>
          </w:p>
        </w:tc>
        <w:tc>
          <w:tcPr>
            <w:tcW w:type="dxa" w:w="1836"/>
            <w:vAlign w:val="center"/>
          </w:tcPr>
          <w:p>
            <w:pPr>
              <w:spacing w:before="60" w:after="60"/>
              <w:jc w:val="center"/>
            </w:pPr>
            <w:r>
              <w:rPr>
                <w:rFonts w:ascii="仿宋_GB2312" w:hAnsi="仿宋_GB2312" w:eastAsia="仿宋_GB2312"/>
                <w:sz w:val="28"/>
              </w:rPr>
              <w:t>（中国人保集团）</w:t>
            </w:r>
          </w:p>
        </w:tc>
        <w:tc>
          <w:tcPr>
            <w:tcW w:type="dxa" w:w="1836"/>
            <w:vAlign w:val="center"/>
          </w:tcPr>
          <w:p>
            <w:pPr>
              <w:spacing w:before="60" w:after="60"/>
              <w:jc w:val="center"/>
            </w:pPr>
            <w:r>
              <w:rPr>
                <w:rFonts w:ascii="仿宋_GB2312" w:hAnsi="仿宋_GB2312" w:eastAsia="仿宋_GB2312"/>
                <w:sz w:val="28"/>
              </w:rPr>
              <w:t>~40-60亿元</w:t>
            </w:r>
          </w:p>
        </w:tc>
        <w:tc>
          <w:tcPr>
            <w:tcW w:type="dxa" w:w="1836"/>
            <w:vAlign w:val="center"/>
          </w:tcPr>
          <w:p>
            <w:pPr>
              <w:spacing w:before="60" w:after="60"/>
              <w:jc w:val="center"/>
            </w:pPr>
            <w:r>
              <w:rPr>
                <w:rFonts w:ascii="仿宋_GB2312" w:hAnsi="仿宋_GB2312" w:eastAsia="仿宋_GB2312"/>
                <w:sz w:val="28"/>
              </w:rPr>
              <w:t>【附件10】</w:t>
            </w:r>
          </w:p>
        </w:tc>
      </w:tr>
      <w:tr>
        <w:tc>
          <w:tcPr>
            <w:tcW w:type="dxa" w:w="1836"/>
            <w:vAlign w:val="center"/>
            <w:shd w:fill="F5F5F5"/>
          </w:tcPr>
          <w:p>
            <w:pPr>
              <w:spacing w:before="60" w:after="60"/>
              <w:jc w:val="center"/>
            </w:pPr>
            <w:r>
              <w:rPr>
                <w:rFonts w:ascii="仿宋_GB2312" w:hAnsi="仿宋_GB2312" w:eastAsia="仿宋_GB2312"/>
                <w:b/>
                <w:sz w:val="28"/>
              </w:rPr>
              <w:t>第二梯队</w:t>
            </w:r>
          </w:p>
        </w:tc>
        <w:tc>
          <w:tcPr>
            <w:tcW w:type="dxa" w:w="1836"/>
            <w:vAlign w:val="center"/>
            <w:shd w:fill="F5F5F5"/>
          </w:tcPr>
          <w:p>
            <w:pPr>
              <w:spacing w:before="60" w:after="60"/>
              <w:jc w:val="center"/>
            </w:pPr>
            <w:r>
              <w:rPr>
                <w:rFonts w:ascii="仿宋_GB2312" w:hAnsi="仿宋_GB2312" w:eastAsia="仿宋_GB2312"/>
                <w:sz w:val="28"/>
              </w:rPr>
              <w:t>慕尼黑再保险（中国）</w:t>
            </w:r>
          </w:p>
        </w:tc>
        <w:tc>
          <w:tcPr>
            <w:tcW w:type="dxa" w:w="1836"/>
            <w:vAlign w:val="center"/>
            <w:shd w:fill="F5F5F5"/>
          </w:tcPr>
          <w:p>
            <w:pPr>
              <w:spacing w:before="60" w:after="60"/>
              <w:jc w:val="center"/>
            </w:pPr>
            <w:r>
              <w:rPr>
                <w:rFonts w:ascii="仿宋_GB2312" w:hAnsi="仿宋_GB2312" w:eastAsia="仿宋_GB2312"/>
                <w:sz w:val="28"/>
              </w:rPr>
              <w:t>外资</w:t>
            </w:r>
          </w:p>
        </w:tc>
        <w:tc>
          <w:tcPr>
            <w:tcW w:type="dxa" w:w="1836"/>
            <w:vAlign w:val="center"/>
            <w:shd w:fill="F5F5F5"/>
          </w:tcPr>
          <w:p>
            <w:pPr>
              <w:spacing w:before="60" w:after="60"/>
              <w:jc w:val="center"/>
            </w:pPr>
            <w:r>
              <w:rPr>
                <w:rFonts w:ascii="仿宋_GB2312" w:hAnsi="仿宋_GB2312" w:eastAsia="仿宋_GB2312"/>
                <w:sz w:val="28"/>
              </w:rPr>
              <w:t>~60-100亿元（估算）</w:t>
            </w:r>
          </w:p>
        </w:tc>
        <w:tc>
          <w:tcPr>
            <w:tcW w:type="dxa" w:w="1836"/>
            <w:vAlign w:val="center"/>
            <w:shd w:fill="F5F5F5"/>
          </w:tcPr>
          <w:p>
            <w:pPr>
              <w:spacing w:before="60" w:after="60"/>
              <w:jc w:val="center"/>
            </w:pPr>
            <w:r>
              <w:rPr>
                <w:rFonts w:ascii="仿宋_GB2312" w:hAnsi="仿宋_GB2312" w:eastAsia="仿宋_GB2312"/>
                <w:sz w:val="28"/>
              </w:rPr>
              <w:t>【附件7】</w:t>
            </w:r>
          </w:p>
        </w:tc>
      </w:tr>
      <w:tr>
        <w:tc>
          <w:tcPr>
            <w:tcW w:type="dxa" w:w="1836"/>
            <w:vAlign w:val="center"/>
          </w:tcPr>
          <w:p>
            <w:pPr>
              <w:spacing w:before="60" w:after="60"/>
              <w:jc w:val="center"/>
            </w:pPr>
            <w:r>
              <w:rPr>
                <w:rFonts w:ascii="仿宋_GB2312" w:hAnsi="仿宋_GB2312" w:eastAsia="仿宋_GB2312"/>
                <w:b/>
                <w:sz w:val="28"/>
              </w:rPr>
              <w:t>第三梯队</w:t>
            </w:r>
          </w:p>
        </w:tc>
        <w:tc>
          <w:tcPr>
            <w:tcW w:type="dxa" w:w="1836"/>
            <w:vAlign w:val="center"/>
          </w:tcPr>
          <w:p>
            <w:pPr>
              <w:spacing w:before="60" w:after="60"/>
              <w:jc w:val="center"/>
            </w:pPr>
            <w:r>
              <w:rPr>
                <w:rFonts w:ascii="仿宋_GB2312" w:hAnsi="仿宋_GB2312" w:eastAsia="仿宋_GB2312"/>
                <w:sz w:val="28"/>
              </w:rPr>
              <w:t>瑞士再保险（中国）</w:t>
            </w:r>
          </w:p>
        </w:tc>
        <w:tc>
          <w:tcPr>
            <w:tcW w:type="dxa" w:w="1836"/>
            <w:vAlign w:val="center"/>
          </w:tcPr>
          <w:p>
            <w:pPr>
              <w:spacing w:before="60" w:after="60"/>
              <w:jc w:val="center"/>
            </w:pPr>
            <w:r>
              <w:rPr>
                <w:rFonts w:ascii="仿宋_GB2312" w:hAnsi="仿宋_GB2312" w:eastAsia="仿宋_GB2312"/>
                <w:sz w:val="28"/>
              </w:rPr>
              <w:t>外资</w:t>
            </w:r>
          </w:p>
        </w:tc>
        <w:tc>
          <w:tcPr>
            <w:tcW w:type="dxa" w:w="1836"/>
            <w:vAlign w:val="center"/>
          </w:tcPr>
          <w:p>
            <w:pPr>
              <w:spacing w:before="60" w:after="60"/>
              <w:jc w:val="center"/>
            </w:pPr>
            <w:r>
              <w:rPr>
                <w:rFonts w:ascii="仿宋_GB2312" w:hAnsi="仿宋_GB2312" w:eastAsia="仿宋_GB2312"/>
                <w:sz w:val="28"/>
              </w:rPr>
              <w:t>~50-80亿元（估算）</w:t>
            </w:r>
          </w:p>
        </w:tc>
        <w:tc>
          <w:tcPr>
            <w:tcW w:type="dxa" w:w="1836"/>
            <w:vAlign w:val="center"/>
          </w:tcPr>
          <w:p>
            <w:pPr>
              <w:spacing w:before="60" w:after="60"/>
              <w:jc w:val="center"/>
            </w:pPr>
            <w:r>
              <w:rPr>
                <w:rFonts w:ascii="仿宋_GB2312" w:hAnsi="仿宋_GB2312" w:eastAsia="仿宋_GB2312"/>
                <w:sz w:val="28"/>
              </w:rPr>
              <w:t>【附件8】</w:t>
            </w:r>
          </w:p>
        </w:tc>
      </w:tr>
      <w:tr>
        <w:tc>
          <w:tcPr>
            <w:tcW w:type="dxa" w:w="1836"/>
            <w:vAlign w:val="center"/>
            <w:shd w:fill="F5F5F5"/>
          </w:tcPr>
          <w:p>
            <w:pPr>
              <w:spacing w:before="60" w:after="60"/>
              <w:jc w:val="center"/>
            </w:pPr>
            <w:r>
              <w:rPr>
                <w:rFonts w:ascii="仿宋_GB2312" w:hAnsi="仿宋_GB2312" w:eastAsia="仿宋_GB2312"/>
                <w:b/>
                <w:sz w:val="28"/>
              </w:rPr>
              <w:t>第三梯队</w:t>
            </w:r>
          </w:p>
        </w:tc>
        <w:tc>
          <w:tcPr>
            <w:tcW w:type="dxa" w:w="1836"/>
            <w:vAlign w:val="center"/>
            <w:shd w:fill="F5F5F5"/>
          </w:tcPr>
          <w:p>
            <w:pPr>
              <w:spacing w:before="60" w:after="60"/>
              <w:jc w:val="center"/>
            </w:pPr>
            <w:r>
              <w:rPr>
                <w:rFonts w:ascii="仿宋_GB2312" w:hAnsi="仿宋_GB2312" w:eastAsia="仿宋_GB2312"/>
                <w:sz w:val="28"/>
              </w:rPr>
              <w:t>汉诺威再保险（中国）</w:t>
            </w:r>
          </w:p>
        </w:tc>
        <w:tc>
          <w:tcPr>
            <w:tcW w:type="dxa" w:w="1836"/>
            <w:vAlign w:val="center"/>
            <w:shd w:fill="F5F5F5"/>
          </w:tcPr>
          <w:p>
            <w:pPr>
              <w:spacing w:before="60" w:after="60"/>
              <w:jc w:val="center"/>
            </w:pPr>
            <w:r>
              <w:rPr>
                <w:rFonts w:ascii="仿宋_GB2312" w:hAnsi="仿宋_GB2312" w:eastAsia="仿宋_GB2312"/>
                <w:sz w:val="28"/>
              </w:rPr>
              <w:t>外资</w:t>
            </w:r>
          </w:p>
        </w:tc>
        <w:tc>
          <w:tcPr>
            <w:tcW w:type="dxa" w:w="1836"/>
            <w:vAlign w:val="center"/>
            <w:shd w:fill="F5F5F5"/>
          </w:tcPr>
          <w:p>
            <w:pPr>
              <w:spacing w:before="60" w:after="60"/>
              <w:jc w:val="center"/>
            </w:pPr>
            <w:r>
              <w:rPr>
                <w:rFonts w:ascii="仿宋_GB2312" w:hAnsi="仿宋_GB2312" w:eastAsia="仿宋_GB2312"/>
                <w:sz w:val="28"/>
              </w:rPr>
              <w:t>~30-60亿元（估算）</w:t>
            </w:r>
          </w:p>
        </w:tc>
        <w:tc>
          <w:tcPr>
            <w:tcW w:type="dxa" w:w="1836"/>
            <w:vAlign w:val="center"/>
            <w:shd w:fill="F5F5F5"/>
          </w:tcPr>
          <w:p>
            <w:pPr>
              <w:spacing w:before="60" w:after="60"/>
              <w:jc w:val="center"/>
            </w:pPr>
            <w:r>
              <w:rPr>
                <w:rFonts w:ascii="仿宋_GB2312" w:hAnsi="仿宋_GB2312" w:eastAsia="仿宋_GB2312"/>
                <w:sz w:val="28"/>
              </w:rPr>
              <w:t>【附件9】</w:t>
            </w:r>
          </w:p>
        </w:tc>
      </w:tr>
      <w:tr>
        <w:tc>
          <w:tcPr>
            <w:tcW w:type="dxa" w:w="1836"/>
            <w:vAlign w:val="center"/>
          </w:tcPr>
          <w:p>
            <w:pPr>
              <w:spacing w:before="60" w:after="60"/>
              <w:jc w:val="center"/>
            </w:pPr>
            <w:r>
              <w:rPr>
                <w:rFonts w:ascii="仿宋_GB2312" w:hAnsi="仿宋_GB2312" w:eastAsia="仿宋_GB2312"/>
                <w:b/>
                <w:sz w:val="28"/>
              </w:rPr>
              <w:t>新兴力量</w:t>
            </w:r>
          </w:p>
        </w:tc>
        <w:tc>
          <w:tcPr>
            <w:tcW w:type="dxa" w:w="1836"/>
            <w:vAlign w:val="center"/>
          </w:tcPr>
          <w:p>
            <w:pPr>
              <w:spacing w:before="60" w:after="60"/>
              <w:jc w:val="center"/>
            </w:pPr>
            <w:r>
              <w:rPr>
                <w:rFonts w:ascii="仿宋_GB2312" w:hAnsi="仿宋_GB2312" w:eastAsia="仿宋_GB2312"/>
                <w:sz w:val="28"/>
              </w:rPr>
              <w:t>前海再保险</w:t>
            </w:r>
          </w:p>
        </w:tc>
        <w:tc>
          <w:tcPr>
            <w:tcW w:type="dxa" w:w="1836"/>
            <w:vAlign w:val="center"/>
          </w:tcPr>
          <w:p>
            <w:pPr>
              <w:spacing w:before="60" w:after="60"/>
              <w:jc w:val="center"/>
            </w:pPr>
            <w:r>
              <w:rPr>
                <w:rFonts w:ascii="仿宋_GB2312" w:hAnsi="仿宋_GB2312" w:eastAsia="仿宋_GB2312"/>
                <w:sz w:val="28"/>
              </w:rPr>
              <w:t>混合所有制</w:t>
            </w:r>
          </w:p>
        </w:tc>
        <w:tc>
          <w:tcPr>
            <w:tcW w:type="dxa" w:w="1836"/>
            <w:vAlign w:val="center"/>
          </w:tcPr>
          <w:p>
            <w:pPr>
              <w:spacing w:before="60" w:after="60"/>
              <w:jc w:val="center"/>
            </w:pPr>
            <w:r>
              <w:rPr>
                <w:rFonts w:ascii="仿宋_GB2312" w:hAnsi="仿宋_GB2312" w:eastAsia="仿宋_GB2312"/>
                <w:sz w:val="28"/>
              </w:rPr>
              <w:t>~20-30亿元（估算）</w:t>
            </w:r>
          </w:p>
        </w:tc>
        <w:tc>
          <w:tcPr>
            <w:tcW w:type="dxa" w:w="1836"/>
            <w:vAlign w:val="center"/>
          </w:tcPr>
          <w:p>
            <w:pPr>
              <w:spacing w:before="60" w:after="60"/>
              <w:jc w:val="center"/>
            </w:pPr>
            <w:r>
              <w:rPr>
                <w:rFonts w:ascii="仿宋_GB2312" w:hAnsi="仿宋_GB2312" w:eastAsia="仿宋_GB2312"/>
                <w:sz w:val="28"/>
              </w:rPr>
              <w:t>【附件11】</w:t>
            </w:r>
          </w:p>
        </w:tc>
      </w:tr>
      <w:tr>
        <w:tc>
          <w:tcPr>
            <w:tcW w:type="dxa" w:w="1836"/>
            <w:vAlign w:val="center"/>
            <w:shd w:fill="F5F5F5"/>
          </w:tcPr>
          <w:p>
            <w:pPr>
              <w:spacing w:before="60" w:after="60"/>
              <w:jc w:val="center"/>
            </w:pPr>
            <w:r>
              <w:rPr>
                <w:rFonts w:ascii="仿宋_GB2312" w:hAnsi="仿宋_GB2312" w:eastAsia="仿宋_GB2312"/>
                <w:b/>
                <w:sz w:val="28"/>
              </w:rPr>
              <w:t>其他</w:t>
            </w:r>
          </w:p>
        </w:tc>
        <w:tc>
          <w:tcPr>
            <w:tcW w:type="dxa" w:w="1836"/>
            <w:vAlign w:val="center"/>
            <w:shd w:fill="F5F5F5"/>
          </w:tcPr>
          <w:p>
            <w:pPr>
              <w:spacing w:before="60" w:after="60"/>
              <w:jc w:val="center"/>
            </w:pPr>
            <w:r>
              <w:rPr>
                <w:rFonts w:ascii="仿宋_GB2312" w:hAnsi="仿宋_GB2312" w:eastAsia="仿宋_GB2312"/>
                <w:sz w:val="28"/>
              </w:rPr>
              <w:t>法国再保险、大韩再保险、劳合社中国等</w:t>
            </w:r>
          </w:p>
        </w:tc>
        <w:tc>
          <w:tcPr>
            <w:tcW w:type="dxa" w:w="1836"/>
            <w:vAlign w:val="center"/>
            <w:shd w:fill="F5F5F5"/>
          </w:tcPr>
          <w:p>
            <w:pPr>
              <w:spacing w:before="60" w:after="60"/>
              <w:jc w:val="center"/>
            </w:pPr>
            <w:r>
              <w:rPr>
                <w:rFonts w:ascii="仿宋_GB2312" w:hAnsi="仿宋_GB2312" w:eastAsia="仿宋_GB2312"/>
                <w:sz w:val="28"/>
              </w:rPr>
              <w:t>外资</w:t>
            </w:r>
          </w:p>
        </w:tc>
        <w:tc>
          <w:tcPr>
            <w:tcW w:type="dxa" w:w="1836"/>
            <w:vAlign w:val="center"/>
            <w:shd w:fill="F5F5F5"/>
          </w:tcPr>
          <w:p>
            <w:pPr>
              <w:spacing w:before="60" w:after="60"/>
              <w:jc w:val="center"/>
            </w:pPr>
            <w:r>
              <w:rPr>
                <w:rFonts w:ascii="仿宋_GB2312" w:hAnsi="仿宋_GB2312" w:eastAsia="仿宋_GB2312"/>
                <w:sz w:val="28"/>
              </w:rPr>
              <w:t>各~10-20亿元</w:t>
            </w:r>
          </w:p>
        </w:tc>
        <w:tc>
          <w:tcPr>
            <w:tcW w:type="dxa" w:w="1836"/>
            <w:vAlign w:val="center"/>
            <w:shd w:fill="F5F5F5"/>
          </w:tcPr>
          <w:p>
            <w:pPr>
              <w:spacing w:before="60" w:after="60"/>
              <w:jc w:val="center"/>
            </w:pPr>
            <w:r>
              <w:rPr>
                <w:rFonts w:ascii="仿宋_GB2312" w:hAnsi="仿宋_GB2312" w:eastAsia="仿宋_GB2312"/>
                <w:sz w:val="28"/>
              </w:rPr>
              <w:t>【附件11】</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注：</w:t>
      </w:r>
      <w:r>
        <w:rPr>
          <w:rFonts w:ascii="仿宋_GB2312" w:hAnsi="仿宋_GB2312" w:eastAsia="仿宋_GB2312"/>
          <w:sz w:val="32"/>
        </w:rPr>
        <w:t xml:space="preserve"> 中再集团保费数据来自2025年报（合并总保费收入1,803.68亿元）【附件2】，其余为行业估算值。</w:t>
      </w:r>
    </w:p>
    <w:p>
      <w:pPr>
        <w:spacing w:line="360" w:lineRule="auto" w:before="240" w:after="120"/>
        <w:ind w:firstLine="420"/>
        <w:jc w:val="left"/>
      </w:pPr>
      <w:r>
        <w:rPr>
          <w:rFonts w:ascii="楷体" w:hAnsi="楷体" w:eastAsia="楷体"/>
          <w:b/>
          <w:sz w:val="32"/>
        </w:rPr>
        <w:t>1.2 集中度</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中再集团境内财产再保险和人身再保险市场份额均</w:t>
      </w:r>
      <w:r>
        <w:rPr>
          <w:rFonts w:ascii="仿宋_GB2312" w:hAnsi="仿宋_GB2312" w:eastAsia="仿宋_GB2312"/>
          <w:b/>
          <w:sz w:val="32"/>
        </w:rPr>
        <w:t>稳居行业第一</w:t>
      </w:r>
      <w:r>
        <w:rPr>
          <w:rFonts w:ascii="仿宋_GB2312" w:hAnsi="仿宋_GB2312" w:eastAsia="仿宋_GB2312"/>
          <w:sz w:val="32"/>
        </w:rPr>
        <w:t>【附件2】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中再集团境外业务保费占集团合并总保费的比例达</w:t>
      </w:r>
      <w:r>
        <w:rPr>
          <w:rFonts w:ascii="仿宋_GB2312" w:hAnsi="仿宋_GB2312" w:eastAsia="仿宋_GB2312"/>
          <w:b/>
          <w:sz w:val="32"/>
        </w:rPr>
        <w:t>18.2%</w:t>
      </w:r>
      <w:r>
        <w:rPr>
          <w:rFonts w:ascii="仿宋_GB2312" w:hAnsi="仿宋_GB2312" w:eastAsia="仿宋_GB2312"/>
          <w:sz w:val="32"/>
        </w:rPr>
        <w:t>，机构网络覆盖</w:t>
      </w:r>
      <w:r>
        <w:rPr>
          <w:rFonts w:ascii="仿宋_GB2312" w:hAnsi="仿宋_GB2312" w:eastAsia="仿宋_GB2312"/>
          <w:b/>
          <w:sz w:val="32"/>
        </w:rPr>
        <w:t>11个</w:t>
      </w:r>
      <w:r>
        <w:rPr>
          <w:rFonts w:ascii="仿宋_GB2312" w:hAnsi="仿宋_GB2312" w:eastAsia="仿宋_GB2312"/>
          <w:sz w:val="32"/>
        </w:rPr>
        <w:t>国家和地区【附件2】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中再集团服务国家战略风险保额达</w:t>
      </w:r>
      <w:r>
        <w:rPr>
          <w:rFonts w:ascii="仿宋_GB2312" w:hAnsi="仿宋_GB2312" w:eastAsia="仿宋_GB2312"/>
          <w:b/>
          <w:sz w:val="32"/>
        </w:rPr>
        <w:t>87.5万亿元</w:t>
      </w:r>
      <w:r>
        <w:rPr>
          <w:rFonts w:ascii="仿宋_GB2312" w:hAnsi="仿宋_GB2312" w:eastAsia="仿宋_GB2312"/>
          <w:sz w:val="32"/>
        </w:rPr>
        <w:t>，同比增长</w:t>
      </w:r>
      <w:r>
        <w:rPr>
          <w:rFonts w:ascii="仿宋_GB2312" w:hAnsi="仿宋_GB2312" w:eastAsia="仿宋_GB2312"/>
          <w:b/>
          <w:sz w:val="32"/>
        </w:rPr>
        <w:t>11.4%</w:t>
      </w:r>
      <w:r>
        <w:rPr>
          <w:rFonts w:ascii="仿宋_GB2312" w:hAnsi="仿宋_GB2312" w:eastAsia="仿宋_GB2312"/>
          <w:sz w:val="32"/>
        </w:rPr>
        <w:t>【附件1】</w:t>
      </w:r>
    </w:p>
    <w:p>
      <w:pPr>
        <w:spacing w:line="360" w:lineRule="auto" w:before="240" w:after="120"/>
        <w:ind w:firstLine="420"/>
        <w:jc w:val="left"/>
      </w:pPr>
      <w:r>
        <w:rPr>
          <w:rFonts w:ascii="楷体" w:hAnsi="楷体" w:eastAsia="楷体"/>
          <w:b/>
          <w:sz w:val="32"/>
        </w:rPr>
        <w:t>1.3 监管环境变化</w:t>
      </w:r>
    </w:p>
    <w:p>
      <w:pPr>
        <w:spacing w:line="360" w:lineRule="auto"/>
        <w:ind w:firstLine="420"/>
        <w:jc w:val="both"/>
      </w:pPr>
      <w:r>
        <w:rPr>
          <w:rFonts w:ascii="仿宋_GB2312" w:hAnsi="仿宋_GB2312" w:eastAsia="仿宋_GB2312"/>
          <w:sz w:val="32"/>
        </w:rPr>
        <w:t>未来1-3年关键监管趋势：</w:t>
      </w:r>
    </w:p>
    <w:p>
      <w:pPr>
        <w:spacing w:line="360" w:lineRule="auto" w:before="240" w:after="120"/>
        <w:ind w:firstLine="420"/>
        <w:jc w:val="left"/>
      </w:pPr>
      <w:r>
        <w:rPr>
          <w:rFonts w:ascii="仿宋_GB2312" w:hAnsi="仿宋_GB2312" w:eastAsia="仿宋_GB2312"/>
          <w:b/>
          <w:sz w:val="32"/>
        </w:rPr>
        <w:t>（一）偿二代二期工程全面实施</w:t>
      </w:r>
    </w:p>
    <w:p>
      <w:pPr>
        <w:spacing w:line="360" w:lineRule="auto"/>
        <w:ind w:firstLine="420"/>
        <w:jc w:val="both"/>
      </w:pPr>
      <w:r>
        <w:rPr>
          <w:rFonts w:ascii="仿宋_GB2312" w:hAnsi="仿宋_GB2312" w:eastAsia="仿宋_GB2312"/>
          <w:sz w:val="32"/>
        </w:rPr>
        <w:t>偿付能力监管体系全面升级，对再保险公司的资本管理和风险计量提出更高要求，推动行业从规模导向转向质量导向。【附件6】</w:t>
      </w:r>
    </w:p>
    <w:p>
      <w:pPr>
        <w:spacing w:line="360" w:lineRule="auto" w:before="240" w:after="120"/>
        <w:ind w:firstLine="420"/>
        <w:jc w:val="left"/>
      </w:pPr>
      <w:r>
        <w:rPr>
          <w:rFonts w:ascii="仿宋_GB2312" w:hAnsi="仿宋_GB2312" w:eastAsia="仿宋_GB2312"/>
          <w:b/>
          <w:sz w:val="32"/>
        </w:rPr>
        <w:t>（二）上海国际再保险中心建设</w:t>
      </w:r>
    </w:p>
    <w:p>
      <w:pPr>
        <w:spacing w:line="360" w:lineRule="auto"/>
        <w:ind w:firstLine="420"/>
        <w:jc w:val="both"/>
      </w:pPr>
      <w:r>
        <w:rPr>
          <w:rFonts w:ascii="仿宋_GB2312" w:hAnsi="仿宋_GB2312" w:eastAsia="仿宋_GB2312"/>
          <w:sz w:val="32"/>
        </w:rPr>
        <w:t>经国务院同意，国家金融监督管理总局和上海市人民政府联合发布《关于推进上海国际再保险中心建设的意见》，在上海保险交易所设立再保险"国际板"。中再集团已在上海设立3家运营中心和中再巨灾上海分公司，累计交易规模和结算金额在交易中心排名均为第一。【附件5】</w:t>
      </w:r>
    </w:p>
    <w:p>
      <w:pPr>
        <w:spacing w:line="360" w:lineRule="auto" w:before="240" w:after="120"/>
        <w:ind w:firstLine="420"/>
        <w:jc w:val="left"/>
      </w:pPr>
      <w:r>
        <w:rPr>
          <w:rFonts w:ascii="仿宋_GB2312" w:hAnsi="仿宋_GB2312" w:eastAsia="仿宋_GB2312"/>
          <w:b/>
          <w:sz w:val="32"/>
        </w:rPr>
        <w:t>（三）"一带一路"再保险共同体深化</w:t>
      </w:r>
    </w:p>
    <w:p>
      <w:pPr>
        <w:spacing w:line="360" w:lineRule="auto"/>
        <w:ind w:firstLine="420"/>
        <w:jc w:val="both"/>
      </w:pPr>
      <w:r>
        <w:rPr>
          <w:rFonts w:ascii="仿宋_GB2312" w:hAnsi="仿宋_GB2312" w:eastAsia="仿宋_GB2312"/>
          <w:sz w:val="32"/>
        </w:rPr>
        <w:t>共同体成员单位从最初的家发展至24家，累计承保项目超过230个，遍及43个国家和地区，保障境外总资产规模超过2,500亿元人民币。【附件2】【附件3】</w:t>
      </w:r>
    </w:p>
    <w:p>
      <w:pPr>
        <w:spacing w:line="360" w:lineRule="auto" w:before="240" w:after="120"/>
        <w:ind w:firstLine="420"/>
        <w:jc w:val="left"/>
      </w:pPr>
      <w:r>
        <w:rPr>
          <w:rFonts w:ascii="仿宋_GB2312" w:hAnsi="仿宋_GB2312" w:eastAsia="仿宋_GB2312"/>
          <w:b/>
          <w:sz w:val="32"/>
        </w:rPr>
        <w:t>（四）国际监管评级升级</w:t>
      </w:r>
    </w:p>
    <w:p>
      <w:pPr>
        <w:spacing w:line="360" w:lineRule="auto"/>
        <w:ind w:firstLine="420"/>
        <w:jc w:val="both"/>
      </w:pPr>
      <w:r>
        <w:rPr>
          <w:rFonts w:ascii="仿宋_GB2312" w:hAnsi="仿宋_GB2312" w:eastAsia="仿宋_GB2312"/>
          <w:sz w:val="32"/>
        </w:rPr>
        <w:t>中再于2025年被国际保险监督官协会（IAIS）和国家金融监督管理总局认定为</w:t>
      </w:r>
      <w:r>
        <w:rPr>
          <w:rFonts w:ascii="仿宋_GB2312" w:hAnsi="仿宋_GB2312" w:eastAsia="仿宋_GB2312"/>
          <w:b/>
          <w:sz w:val="32"/>
        </w:rPr>
        <w:t>境内首家国际活跃保险集团</w:t>
      </w:r>
      <w:r>
        <w:rPr>
          <w:rFonts w:ascii="仿宋_GB2312" w:hAnsi="仿宋_GB2312" w:eastAsia="仿宋_GB2312"/>
          <w:sz w:val="32"/>
        </w:rPr>
        <w:t>【附件4。</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二、各公司经营策略与市场偏好分析</w:t>
      </w:r>
    </w:p>
    <w:p>
      <w:pPr>
        <w:spacing w:line="360" w:lineRule="auto" w:before="240" w:after="120"/>
        <w:ind w:firstLine="420"/>
        <w:jc w:val="left"/>
      </w:pPr>
      <w:r>
        <w:rPr>
          <w:rFonts w:ascii="楷体" w:hAnsi="楷体" w:eastAsia="楷体"/>
          <w:b/>
          <w:sz w:val="32"/>
        </w:rPr>
        <w:t>2.1 中再集团（中国再保险集团）—— 绝对龙头</w:t>
      </w:r>
    </w:p>
    <w:p>
      <w:pPr>
        <w:spacing w:line="360" w:lineRule="auto" w:before="240" w:after="120"/>
        <w:ind w:firstLine="420"/>
        <w:jc w:val="left"/>
      </w:pPr>
      <w:r>
        <w:rPr>
          <w:rFonts w:ascii="仿宋_GB2312" w:hAnsi="仿宋_GB2312" w:eastAsia="仿宋_GB2312"/>
          <w:b/>
          <w:sz w:val="32"/>
        </w:rPr>
        <w:t>2.1.1 核心经营数据</w:t>
      </w:r>
    </w:p>
    <w:p>
      <w:pPr>
        <w:spacing w:line="360" w:lineRule="auto"/>
        <w:ind w:firstLine="420"/>
        <w:jc w:val="both"/>
      </w:pPr>
      <w:r>
        <w:rPr>
          <w:rFonts w:ascii="仿宋_GB2312" w:hAnsi="仿宋_GB2312" w:eastAsia="仿宋_GB2312"/>
          <w:sz w:val="32"/>
        </w:rPr>
        <w:t>中再集团2025年业绩创历史新高【附件2】：</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指标</w:t>
            </w:r>
          </w:p>
        </w:tc>
        <w:tc>
          <w:tcPr>
            <w:tcW w:type="dxa" w:w="3060"/>
            <w:shd w:fill="000000"/>
            <w:vAlign w:val="center"/>
          </w:tcPr>
          <w:p>
            <w:pPr>
              <w:spacing w:before="60" w:after="60"/>
              <w:jc w:val="center"/>
            </w:pPr>
            <w:r>
              <w:rPr>
                <w:rFonts w:ascii="仿宋_GB2312" w:hAnsi="仿宋_GB2312" w:eastAsia="仿宋_GB2312"/>
                <w:b/>
                <w:color w:val="FFFFFF"/>
                <w:sz w:val="28"/>
              </w:rPr>
              <w:t>数值</w:t>
            </w:r>
          </w:p>
        </w:tc>
        <w:tc>
          <w:tcPr>
            <w:tcW w:type="dxa" w:w="3060"/>
            <w:shd w:fill="000000"/>
            <w:vAlign w:val="center"/>
          </w:tcPr>
          <w:p>
            <w:pPr>
              <w:spacing w:before="60" w:after="60"/>
              <w:jc w:val="center"/>
            </w:pPr>
            <w:r>
              <w:rPr>
                <w:rFonts w:ascii="仿宋_GB2312" w:hAnsi="仿宋_GB2312" w:eastAsia="仿宋_GB2312"/>
                <w:b/>
                <w:color w:val="FFFFFF"/>
                <w:sz w:val="28"/>
              </w:rPr>
              <w:t>同比变化</w:t>
            </w:r>
          </w:p>
        </w:tc>
      </w:tr>
      <w:tr>
        <w:tc>
          <w:tcPr>
            <w:tcW w:type="dxa" w:w="3060"/>
            <w:vAlign w:val="center"/>
          </w:tcPr>
          <w:p>
            <w:pPr>
              <w:spacing w:before="60" w:after="60"/>
              <w:jc w:val="center"/>
            </w:pPr>
            <w:r>
              <w:rPr>
                <w:rFonts w:ascii="仿宋_GB2312" w:hAnsi="仿宋_GB2312" w:eastAsia="仿宋_GB2312"/>
                <w:sz w:val="28"/>
              </w:rPr>
              <w:t>合并总保费收入</w:t>
            </w:r>
          </w:p>
        </w:tc>
        <w:tc>
          <w:tcPr>
            <w:tcW w:type="dxa" w:w="3060"/>
            <w:vAlign w:val="center"/>
          </w:tcPr>
          <w:p>
            <w:pPr>
              <w:spacing w:before="60" w:after="60"/>
              <w:jc w:val="center"/>
            </w:pPr>
            <w:r>
              <w:rPr>
                <w:rFonts w:ascii="仿宋_GB2312" w:hAnsi="仿宋_GB2312" w:eastAsia="仿宋_GB2312"/>
                <w:b/>
                <w:sz w:val="28"/>
              </w:rPr>
              <w:t>1,803.68亿元</w:t>
            </w:r>
          </w:p>
        </w:tc>
        <w:tc>
          <w:tcPr>
            <w:tcW w:type="dxa" w:w="3060"/>
            <w:vAlign w:val="center"/>
          </w:tcPr>
          <w:p>
            <w:pPr>
              <w:spacing w:before="60" w:after="60"/>
              <w:jc w:val="center"/>
            </w:pPr>
            <w:r>
              <w:rPr>
                <w:rFonts w:ascii="仿宋_GB2312" w:hAnsi="仿宋_GB2312" w:eastAsia="仿宋_GB2312"/>
                <w:sz w:val="28"/>
              </w:rPr>
              <w:t>创历史新高</w:t>
            </w:r>
          </w:p>
        </w:tc>
      </w:tr>
      <w:tr>
        <w:tc>
          <w:tcPr>
            <w:tcW w:type="dxa" w:w="3060"/>
            <w:vAlign w:val="center"/>
            <w:shd w:fill="F5F5F5"/>
          </w:tcPr>
          <w:p>
            <w:pPr>
              <w:spacing w:before="60" w:after="60"/>
              <w:jc w:val="center"/>
            </w:pPr>
            <w:r>
              <w:rPr>
                <w:rFonts w:ascii="仿宋_GB2312" w:hAnsi="仿宋_GB2312" w:eastAsia="仿宋_GB2312"/>
                <w:sz w:val="28"/>
              </w:rPr>
              <w:t>合并保险服务收入</w:t>
            </w:r>
          </w:p>
        </w:tc>
        <w:tc>
          <w:tcPr>
            <w:tcW w:type="dxa" w:w="3060"/>
            <w:vAlign w:val="center"/>
            <w:shd w:fill="F5F5F5"/>
          </w:tcPr>
          <w:p>
            <w:pPr>
              <w:spacing w:before="60" w:after="60"/>
              <w:jc w:val="center"/>
            </w:pPr>
            <w:r>
              <w:rPr>
                <w:rFonts w:ascii="仿宋_GB2312" w:hAnsi="仿宋_GB2312" w:eastAsia="仿宋_GB2312"/>
                <w:b/>
                <w:sz w:val="28"/>
              </w:rPr>
              <w:t>1,030.87亿元</w:t>
            </w:r>
          </w:p>
        </w:tc>
        <w:tc>
          <w:tcPr>
            <w:tcW w:type="dxa" w:w="3060"/>
            <w:vAlign w:val="center"/>
            <w:shd w:fill="F5F5F5"/>
          </w:tcPr>
          <w:p>
            <w:pPr>
              <w:spacing w:before="60" w:after="60"/>
              <w:jc w:val="center"/>
            </w:pPr>
            <w:r>
              <w:rPr>
                <w:rFonts w:ascii="仿宋_GB2312" w:hAnsi="仿宋_GB2312" w:eastAsia="仿宋_GB2312"/>
                <w:sz w:val="28"/>
              </w:rPr>
              <w:t>—</w:t>
            </w:r>
          </w:p>
        </w:tc>
      </w:tr>
      <w:tr>
        <w:tc>
          <w:tcPr>
            <w:tcW w:type="dxa" w:w="3060"/>
            <w:vAlign w:val="center"/>
          </w:tcPr>
          <w:p>
            <w:pPr>
              <w:spacing w:before="60" w:after="60"/>
              <w:jc w:val="center"/>
            </w:pPr>
            <w:r>
              <w:rPr>
                <w:rFonts w:ascii="仿宋_GB2312" w:hAnsi="仿宋_GB2312" w:eastAsia="仿宋_GB2312"/>
                <w:sz w:val="28"/>
              </w:rPr>
              <w:t>归属于母公司股东净利润</w:t>
            </w:r>
          </w:p>
        </w:tc>
        <w:tc>
          <w:tcPr>
            <w:tcW w:type="dxa" w:w="3060"/>
            <w:vAlign w:val="center"/>
          </w:tcPr>
          <w:p>
            <w:pPr>
              <w:spacing w:before="60" w:after="60"/>
              <w:jc w:val="center"/>
            </w:pPr>
            <w:r>
              <w:rPr>
                <w:rFonts w:ascii="仿宋_GB2312" w:hAnsi="仿宋_GB2312" w:eastAsia="仿宋_GB2312"/>
                <w:b/>
                <w:sz w:val="28"/>
              </w:rPr>
              <w:t>97.22亿元</w:t>
            </w:r>
          </w:p>
        </w:tc>
        <w:tc>
          <w:tcPr>
            <w:tcW w:type="dxa" w:w="3060"/>
            <w:vAlign w:val="center"/>
          </w:tcPr>
          <w:p>
            <w:pPr>
              <w:spacing w:before="60" w:after="60"/>
              <w:jc w:val="center"/>
            </w:pPr>
            <w:r>
              <w:rPr>
                <w:rFonts w:ascii="仿宋_GB2312" w:hAnsi="仿宋_GB2312" w:eastAsia="仿宋_GB2312"/>
                <w:b/>
                <w:sz w:val="28"/>
              </w:rPr>
              <w:t>+38.4%</w:t>
            </w:r>
          </w:p>
        </w:tc>
      </w:tr>
      <w:tr>
        <w:tc>
          <w:tcPr>
            <w:tcW w:type="dxa" w:w="3060"/>
            <w:vAlign w:val="center"/>
            <w:shd w:fill="F5F5F5"/>
          </w:tcPr>
          <w:p>
            <w:pPr>
              <w:spacing w:before="60" w:after="60"/>
              <w:jc w:val="center"/>
            </w:pPr>
            <w:r>
              <w:rPr>
                <w:rFonts w:ascii="仿宋_GB2312" w:hAnsi="仿宋_GB2312" w:eastAsia="仿宋_GB2312"/>
                <w:sz w:val="28"/>
              </w:rPr>
              <w:t>总资产</w:t>
            </w:r>
          </w:p>
        </w:tc>
        <w:tc>
          <w:tcPr>
            <w:tcW w:type="dxa" w:w="3060"/>
            <w:vAlign w:val="center"/>
            <w:shd w:fill="F5F5F5"/>
          </w:tcPr>
          <w:p>
            <w:pPr>
              <w:spacing w:before="60" w:after="60"/>
              <w:jc w:val="center"/>
            </w:pPr>
            <w:r>
              <w:rPr>
                <w:rFonts w:ascii="仿宋_GB2312" w:hAnsi="仿宋_GB2312" w:eastAsia="仿宋_GB2312"/>
                <w:b/>
                <w:sz w:val="28"/>
              </w:rPr>
              <w:t>5,277.63亿元</w:t>
            </w:r>
          </w:p>
        </w:tc>
        <w:tc>
          <w:tcPr>
            <w:tcW w:type="dxa" w:w="3060"/>
            <w:vAlign w:val="center"/>
            <w:shd w:fill="F5F5F5"/>
          </w:tcPr>
          <w:p>
            <w:pPr>
              <w:spacing w:before="60" w:after="60"/>
              <w:jc w:val="center"/>
            </w:pPr>
            <w:r>
              <w:rPr>
                <w:rFonts w:ascii="仿宋_GB2312" w:hAnsi="仿宋_GB2312" w:eastAsia="仿宋_GB2312"/>
                <w:sz w:val="28"/>
              </w:rPr>
              <w:t>+3.8%</w:t>
            </w:r>
          </w:p>
        </w:tc>
      </w:tr>
      <w:tr>
        <w:tc>
          <w:tcPr>
            <w:tcW w:type="dxa" w:w="3060"/>
            <w:vAlign w:val="center"/>
          </w:tcPr>
          <w:p>
            <w:pPr>
              <w:spacing w:before="60" w:after="60"/>
              <w:jc w:val="center"/>
            </w:pPr>
            <w:r>
              <w:rPr>
                <w:rFonts w:ascii="仿宋_GB2312" w:hAnsi="仿宋_GB2312" w:eastAsia="仿宋_GB2312"/>
                <w:sz w:val="28"/>
              </w:rPr>
              <w:t>财产再保险净利润</w:t>
            </w:r>
          </w:p>
        </w:tc>
        <w:tc>
          <w:tcPr>
            <w:tcW w:type="dxa" w:w="3060"/>
            <w:vAlign w:val="center"/>
          </w:tcPr>
          <w:p>
            <w:pPr>
              <w:spacing w:before="60" w:after="60"/>
              <w:jc w:val="center"/>
            </w:pPr>
            <w:r>
              <w:rPr>
                <w:rFonts w:ascii="仿宋_GB2312" w:hAnsi="仿宋_GB2312" w:eastAsia="仿宋_GB2312"/>
                <w:sz w:val="28"/>
              </w:rPr>
              <w:t>51.14亿元</w:t>
            </w:r>
          </w:p>
        </w:tc>
        <w:tc>
          <w:tcPr>
            <w:tcW w:type="dxa" w:w="3060"/>
            <w:vAlign w:val="center"/>
          </w:tcPr>
          <w:p>
            <w:pPr>
              <w:spacing w:before="60" w:after="60"/>
              <w:jc w:val="center"/>
            </w:pPr>
            <w:r>
              <w:rPr>
                <w:rFonts w:ascii="仿宋_GB2312" w:hAnsi="仿宋_GB2312" w:eastAsia="仿宋_GB2312"/>
                <w:sz w:val="28"/>
              </w:rPr>
              <w:t>占比43.4%</w:t>
            </w:r>
          </w:p>
        </w:tc>
      </w:tr>
      <w:tr>
        <w:tc>
          <w:tcPr>
            <w:tcW w:type="dxa" w:w="3060"/>
            <w:vAlign w:val="center"/>
            <w:shd w:fill="F5F5F5"/>
          </w:tcPr>
          <w:p>
            <w:pPr>
              <w:spacing w:before="60" w:after="60"/>
              <w:jc w:val="center"/>
            </w:pPr>
            <w:r>
              <w:rPr>
                <w:rFonts w:ascii="仿宋_GB2312" w:hAnsi="仿宋_GB2312" w:eastAsia="仿宋_GB2312"/>
                <w:sz w:val="28"/>
              </w:rPr>
              <w:t>人身再净利润</w:t>
            </w:r>
          </w:p>
        </w:tc>
        <w:tc>
          <w:tcPr>
            <w:tcW w:type="dxa" w:w="3060"/>
            <w:vAlign w:val="center"/>
            <w:shd w:fill="F5F5F5"/>
          </w:tcPr>
          <w:p>
            <w:pPr>
              <w:spacing w:before="60" w:after="60"/>
              <w:jc w:val="center"/>
            </w:pPr>
            <w:r>
              <w:rPr>
                <w:rFonts w:ascii="仿宋_GB2312" w:hAnsi="仿宋_GB2312" w:eastAsia="仿宋_GB2312"/>
                <w:sz w:val="28"/>
              </w:rPr>
              <w:t>38.96亿元</w:t>
            </w:r>
          </w:p>
        </w:tc>
        <w:tc>
          <w:tcPr>
            <w:tcW w:type="dxa" w:w="3060"/>
            <w:vAlign w:val="center"/>
            <w:shd w:fill="F5F5F5"/>
          </w:tcPr>
          <w:p>
            <w:pPr>
              <w:spacing w:before="60" w:after="60"/>
              <w:jc w:val="center"/>
            </w:pPr>
            <w:r>
              <w:rPr>
                <w:rFonts w:ascii="仿宋_GB2312" w:hAnsi="仿宋_GB2312" w:eastAsia="仿宋_GB2312"/>
                <w:sz w:val="28"/>
              </w:rPr>
              <w:t>占比33.1%</w:t>
            </w:r>
          </w:p>
        </w:tc>
      </w:tr>
      <w:tr>
        <w:tc>
          <w:tcPr>
            <w:tcW w:type="dxa" w:w="3060"/>
            <w:vAlign w:val="center"/>
          </w:tcPr>
          <w:p>
            <w:pPr>
              <w:spacing w:before="60" w:after="60"/>
              <w:jc w:val="center"/>
            </w:pPr>
            <w:r>
              <w:rPr>
                <w:rFonts w:ascii="仿宋_GB2312" w:hAnsi="仿宋_GB2312" w:eastAsia="仿宋_GB2312"/>
                <w:sz w:val="28"/>
              </w:rPr>
              <w:t>财产险直保净利润</w:t>
            </w:r>
          </w:p>
        </w:tc>
        <w:tc>
          <w:tcPr>
            <w:tcW w:type="dxa" w:w="3060"/>
            <w:vAlign w:val="center"/>
          </w:tcPr>
          <w:p>
            <w:pPr>
              <w:spacing w:before="60" w:after="60"/>
              <w:jc w:val="center"/>
            </w:pPr>
            <w:r>
              <w:rPr>
                <w:rFonts w:ascii="仿宋_GB2312" w:hAnsi="仿宋_GB2312" w:eastAsia="仿宋_GB2312"/>
                <w:sz w:val="28"/>
              </w:rPr>
              <w:t>12.58亿元</w:t>
            </w:r>
          </w:p>
        </w:tc>
        <w:tc>
          <w:tcPr>
            <w:tcW w:type="dxa" w:w="3060"/>
            <w:vAlign w:val="center"/>
          </w:tcPr>
          <w:p>
            <w:pPr>
              <w:spacing w:before="60" w:after="60"/>
              <w:jc w:val="center"/>
            </w:pPr>
            <w:r>
              <w:rPr>
                <w:rFonts w:ascii="仿宋_GB2312" w:hAnsi="仿宋_GB2312" w:eastAsia="仿宋_GB2312"/>
                <w:sz w:val="28"/>
              </w:rPr>
              <w:t>占比10.7%</w:t>
            </w:r>
          </w:p>
        </w:tc>
      </w:tr>
      <w:tr>
        <w:tc>
          <w:tcPr>
            <w:tcW w:type="dxa" w:w="3060"/>
            <w:vAlign w:val="center"/>
            <w:shd w:fill="F5F5F5"/>
          </w:tcPr>
          <w:p>
            <w:pPr>
              <w:spacing w:before="60" w:after="60"/>
              <w:jc w:val="center"/>
            </w:pPr>
            <w:r>
              <w:rPr>
                <w:rFonts w:ascii="仿宋_GB2312" w:hAnsi="仿宋_GB2312" w:eastAsia="仿宋_GB2312"/>
                <w:sz w:val="28"/>
              </w:rPr>
              <w:t>集团本级偿付能力</w:t>
            </w:r>
          </w:p>
        </w:tc>
        <w:tc>
          <w:tcPr>
            <w:tcW w:type="dxa" w:w="3060"/>
            <w:vAlign w:val="center"/>
            <w:shd w:fill="F5F5F5"/>
          </w:tcPr>
          <w:p>
            <w:pPr>
              <w:spacing w:before="60" w:after="60"/>
              <w:jc w:val="center"/>
            </w:pPr>
            <w:r>
              <w:rPr>
                <w:rFonts w:ascii="仿宋_GB2312" w:hAnsi="仿宋_GB2312" w:eastAsia="仿宋_GB2312"/>
                <w:b/>
                <w:sz w:val="28"/>
              </w:rPr>
              <w:t>320%</w:t>
            </w:r>
          </w:p>
        </w:tc>
        <w:tc>
          <w:tcPr>
            <w:tcW w:type="dxa" w:w="3060"/>
            <w:vAlign w:val="center"/>
            <w:shd w:fill="F5F5F5"/>
          </w:tcPr>
          <w:p>
            <w:pPr>
              <w:spacing w:before="60" w:after="60"/>
              <w:jc w:val="center"/>
            </w:pPr>
            <w:r>
              <w:rPr>
                <w:rFonts w:ascii="仿宋_GB2312" w:hAnsi="仿宋_GB2312" w:eastAsia="仿宋_GB2312"/>
                <w:sz w:val="28"/>
              </w:rPr>
              <w:t>—</w:t>
            </w:r>
          </w:p>
        </w:tc>
      </w:tr>
      <w:tr>
        <w:tc>
          <w:tcPr>
            <w:tcW w:type="dxa" w:w="3060"/>
            <w:vAlign w:val="center"/>
          </w:tcPr>
          <w:p>
            <w:pPr>
              <w:spacing w:before="60" w:after="60"/>
              <w:jc w:val="center"/>
            </w:pPr>
            <w:r>
              <w:rPr>
                <w:rFonts w:ascii="仿宋_GB2312" w:hAnsi="仿宋_GB2312" w:eastAsia="仿宋_GB2312"/>
                <w:sz w:val="28"/>
              </w:rPr>
              <w:t>标普/贝氏评级</w:t>
            </w:r>
          </w:p>
        </w:tc>
        <w:tc>
          <w:tcPr>
            <w:tcW w:type="dxa" w:w="3060"/>
            <w:vAlign w:val="center"/>
          </w:tcPr>
          <w:p>
            <w:pPr>
              <w:spacing w:before="60" w:after="60"/>
              <w:jc w:val="center"/>
            </w:pPr>
            <w:r>
              <w:rPr>
                <w:rFonts w:ascii="仿宋_GB2312" w:hAnsi="仿宋_GB2312" w:eastAsia="仿宋_GB2312"/>
                <w:sz w:val="28"/>
              </w:rPr>
              <w:t>A / A（优秀）</w:t>
            </w:r>
          </w:p>
        </w:tc>
        <w:tc>
          <w:tcPr>
            <w:tcW w:type="dxa" w:w="3060"/>
            <w:vAlign w:val="center"/>
          </w:tcPr>
          <w:p>
            <w:pPr>
              <w:spacing w:before="60" w:after="60"/>
              <w:jc w:val="center"/>
            </w:pPr>
            <w:r>
              <w:rPr>
                <w:rFonts w:ascii="仿宋_GB2312" w:hAnsi="仿宋_GB2312" w:eastAsia="仿宋_GB2312"/>
                <w:sz w:val="28"/>
              </w:rPr>
              <w:t>展望稳定</w:t>
            </w:r>
          </w:p>
        </w:tc>
      </w:tr>
    </w:tbl>
    <w:p/>
    <w:p>
      <w:pPr>
        <w:spacing w:line="360" w:lineRule="auto" w:before="240" w:after="120"/>
        <w:ind w:firstLine="420"/>
        <w:jc w:val="left"/>
      </w:pPr>
      <w:r>
        <w:rPr>
          <w:rFonts w:ascii="仿宋_GB2312" w:hAnsi="仿宋_GB2312" w:eastAsia="仿宋_GB2312"/>
          <w:b/>
          <w:sz w:val="32"/>
        </w:rPr>
        <w:t>2.1.2 总体经营理念</w:t>
      </w:r>
    </w:p>
    <w:p>
      <w:pPr>
        <w:spacing w:line="360" w:lineRule="auto"/>
        <w:ind w:firstLine="420"/>
        <w:jc w:val="both"/>
      </w:pPr>
      <w:r>
        <w:rPr>
          <w:rFonts w:ascii="仿宋_GB2312" w:hAnsi="仿宋_GB2312" w:eastAsia="仿宋_GB2312"/>
          <w:sz w:val="32"/>
        </w:rPr>
        <w:t xml:space="preserve">长期坚持 </w:t>
      </w:r>
      <w:r>
        <w:rPr>
          <w:rFonts w:ascii="仿宋_GB2312" w:hAnsi="仿宋_GB2312" w:eastAsia="仿宋_GB2312"/>
          <w:b/>
          <w:sz w:val="32"/>
        </w:rPr>
        <w:t>"发展有规模、承保增效益、投资要稳健"</w:t>
      </w:r>
      <w:r>
        <w:rPr>
          <w:rFonts w:ascii="仿宋_GB2312" w:hAnsi="仿宋_GB2312" w:eastAsia="仿宋_GB2312"/>
          <w:sz w:val="32"/>
        </w:rPr>
        <w:t xml:space="preserve"> 的经营理念【附件1】。</w:t>
      </w:r>
    </w:p>
    <w:p>
      <w:pPr>
        <w:spacing w:line="360" w:lineRule="auto" w:before="240" w:after="120"/>
        <w:ind w:firstLine="420"/>
        <w:jc w:val="left"/>
      </w:pPr>
      <w:r>
        <w:rPr>
          <w:rFonts w:ascii="仿宋_GB2312" w:hAnsi="仿宋_GB2312" w:eastAsia="仿宋_GB2312"/>
          <w:b/>
          <w:sz w:val="32"/>
        </w:rPr>
        <w:t>2.1.3 "五个坚持"战略框架</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坚持</w:t>
      </w:r>
      <w:r>
        <w:rPr>
          <w:rFonts w:ascii="仿宋_GB2312" w:hAnsi="仿宋_GB2312" w:eastAsia="仿宋_GB2312"/>
          <w:b/>
          <w:sz w:val="32"/>
        </w:rPr>
        <w:t>2035年建成"世界一流"</w:t>
      </w:r>
      <w:r>
        <w:rPr>
          <w:rFonts w:ascii="仿宋_GB2312" w:hAnsi="仿宋_GB2312" w:eastAsia="仿宋_GB2312"/>
          <w:sz w:val="32"/>
        </w:rPr>
        <w:t>不动摇，锚定愿景目标不放松</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坚持</w:t>
      </w:r>
      <w:r>
        <w:rPr>
          <w:rFonts w:ascii="仿宋_GB2312" w:hAnsi="仿宋_GB2312" w:eastAsia="仿宋_GB2312"/>
          <w:b/>
          <w:sz w:val="32"/>
        </w:rPr>
        <w:t>稳中求进</w:t>
      </w:r>
      <w:r>
        <w:rPr>
          <w:rFonts w:ascii="仿宋_GB2312" w:hAnsi="仿宋_GB2312" w:eastAsia="仿宋_GB2312"/>
          <w:sz w:val="32"/>
        </w:rPr>
        <w:t>工作总基调</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坚持正确的</w:t>
      </w:r>
      <w:r>
        <w:rPr>
          <w:rFonts w:ascii="仿宋_GB2312" w:hAnsi="仿宋_GB2312" w:eastAsia="仿宋_GB2312"/>
          <w:b/>
          <w:sz w:val="32"/>
        </w:rPr>
        <w:t>经营观、业绩观、风险观</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坚持</w:t>
      </w:r>
      <w:r>
        <w:rPr>
          <w:rFonts w:ascii="仿宋_GB2312" w:hAnsi="仿宋_GB2312" w:eastAsia="仿宋_GB2312"/>
          <w:b/>
          <w:sz w:val="32"/>
        </w:rPr>
        <w:t>聚焦主主业</w:t>
      </w:r>
      <w:r>
        <w:rPr>
          <w:rFonts w:ascii="仿宋_GB2312" w:hAnsi="仿宋_GB2312" w:eastAsia="仿宋_GB2312"/>
          <w:sz w:val="32"/>
        </w:rPr>
        <w:t>和发挥功能作用</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sz w:val="32"/>
        </w:rPr>
        <w:t>坚持</w:t>
      </w:r>
      <w:r>
        <w:rPr>
          <w:rFonts w:ascii="仿宋_GB2312" w:hAnsi="仿宋_GB2312" w:eastAsia="仿宋_GB2312"/>
          <w:b/>
          <w:sz w:val="32"/>
        </w:rPr>
        <w:t>高质量发展和高水平安全</w:t>
      </w:r>
      <w:r>
        <w:rPr>
          <w:rFonts w:ascii="仿宋_GB2312" w:hAnsi="仿宋_GB2312" w:eastAsia="仿宋_GB2312"/>
          <w:sz w:val="32"/>
        </w:rPr>
        <w:t>有机统一</w:t>
      </w:r>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出处：</w:t>
      </w:r>
      <w:r>
        <w:rPr>
          <w:rFonts w:ascii="仿宋_GB2312" w:hAnsi="仿宋_GB2312" w:eastAsia="仿宋_GB2312"/>
          <w:sz w:val="32"/>
        </w:rPr>
        <w:t xml:space="preserve"> 2026年党建和管理工作会议【附件1】</w:t>
      </w:r>
    </w:p>
    <w:p>
      <w:pPr>
        <w:spacing w:line="360" w:lineRule="auto" w:before="240" w:after="120"/>
        <w:ind w:firstLine="420"/>
        <w:jc w:val="left"/>
      </w:pPr>
      <w:r>
        <w:rPr>
          <w:rFonts w:ascii="仿宋_GB2312" w:hAnsi="仿宋_GB2312" w:eastAsia="仿宋_GB2312"/>
          <w:b/>
          <w:sz w:val="32"/>
        </w:rPr>
        <w:t>2.1.4 "五个突破"行动计划</w:t>
      </w:r>
    </w:p>
    <w:p>
      <w:pPr>
        <w:spacing w:line="360" w:lineRule="auto"/>
        <w:ind w:firstLine="420"/>
        <w:jc w:val="both"/>
      </w:pPr>
      <w:r>
        <w:rPr>
          <w:rFonts w:ascii="仿宋_GB2312" w:hAnsi="仿宋_GB2312" w:eastAsia="仿宋_GB2312"/>
          <w:sz w:val="32"/>
        </w:rPr>
        <w:t xml:space="preserve">. </w:t>
      </w:r>
      <w:r>
        <w:rPr>
          <w:rFonts w:ascii="仿宋_GB2312" w:hAnsi="仿宋_GB2312" w:eastAsia="仿宋_GB2312"/>
          <w:b/>
          <w:sz w:val="32"/>
        </w:rPr>
        <w:t>业务转型突破</w:t>
      </w:r>
      <w:r>
        <w:rPr>
          <w:rFonts w:ascii="仿宋_GB2312" w:hAnsi="仿宋_GB2312" w:eastAsia="仿宋_GB2312"/>
          <w:sz w:val="32"/>
        </w:rPr>
        <w:t>——再保险转型发展图、直接保险高质量发展路线图、保险科技创新发展路线图</w:t>
      </w:r>
    </w:p>
    <w:p>
      <w:pPr>
        <w:spacing w:line="360" w:lineRule="auto"/>
        <w:ind w:firstLine="420"/>
        <w:jc w:val="both"/>
      </w:pPr>
      <w:r>
        <w:rPr>
          <w:rFonts w:ascii="仿宋_GB2312" w:hAnsi="仿宋_GB2312" w:eastAsia="仿宋_GB2312"/>
          <w:sz w:val="32"/>
        </w:rPr>
        <w:t xml:space="preserve">2 </w:t>
      </w:r>
      <w:r>
        <w:rPr>
          <w:rFonts w:ascii="仿宋_GB2312" w:hAnsi="仿宋_GB2312" w:eastAsia="仿宋_GB2312"/>
          <w:b/>
          <w:sz w:val="32"/>
        </w:rPr>
        <w:t>治理结构突破</w:t>
      </w:r>
      <w:r>
        <w:rPr>
          <w:rFonts w:ascii="仿宋_GB2312" w:hAnsi="仿宋_GB2312" w:eastAsia="仿宋_GB2312"/>
          <w:sz w:val="32"/>
        </w:rPr>
        <w:t>——强化集团管控，完善机制</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激励约束突破</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数字化转型突破</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企业文化塑造突破</w:t>
      </w:r>
      <w:r>
        <w:rPr>
          <w:rFonts w:ascii="仿宋_GB2312" w:hAnsi="仿宋_GB2312" w:eastAsia="仿宋_GB2312"/>
          <w:sz w:val="32"/>
        </w:rPr>
        <w:t>——追求专业尽责卓越，弘扬简单、高效、务实、合规作风</w:t>
      </w:r>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出处：</w:t>
      </w:r>
      <w:r>
        <w:rPr>
          <w:rFonts w:ascii="仿宋_GB2312" w:hAnsi="仿宋_GB2312" w:eastAsia="仿宋_GB2312"/>
          <w:sz w:val="32"/>
        </w:rPr>
        <w:t xml:space="preserve"> 2026年党建和经营管理工作会议【附件1】</w:t>
      </w:r>
    </w:p>
    <w:p>
      <w:pPr>
        <w:spacing w:line="360" w:lineRule="auto" w:before="240" w:after="120"/>
        <w:ind w:firstLine="420"/>
        <w:jc w:val="left"/>
      </w:pPr>
      <w:r>
        <w:rPr>
          <w:rFonts w:ascii="仿宋_GB2312" w:hAnsi="仿宋_GB2312" w:eastAsia="仿宋_GB2312"/>
          <w:b/>
          <w:sz w:val="32"/>
        </w:rPr>
        <w:t>2.1.5 国际化战略</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2025年被认定为</w:t>
      </w:r>
      <w:r>
        <w:rPr>
          <w:rFonts w:ascii="仿宋_GB2312" w:hAnsi="仿宋_GB2312" w:eastAsia="仿宋_GB2312"/>
          <w:b/>
          <w:sz w:val="32"/>
        </w:rPr>
        <w:t>境内首家国际活跃保险集团</w:t>
      </w:r>
      <w:r>
        <w:rPr>
          <w:rFonts w:ascii="仿宋_GB2312" w:hAnsi="仿宋_GB2312" w:eastAsia="仿宋_GB2312"/>
          <w:sz w:val="32"/>
        </w:rPr>
        <w:t>【附件4】</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境外业务保费占比</w:t>
      </w:r>
      <w:r>
        <w:rPr>
          <w:rFonts w:ascii="仿宋_GB2312" w:hAnsi="仿宋_GB2312" w:eastAsia="仿宋_GB2312"/>
          <w:b/>
          <w:sz w:val="32"/>
        </w:rPr>
        <w:t>18.2%</w:t>
      </w:r>
      <w:r>
        <w:rPr>
          <w:rFonts w:ascii="仿宋_GB2312" w:hAnsi="仿宋_GB2312" w:eastAsia="仿宋_GB2312"/>
          <w:sz w:val="32"/>
        </w:rPr>
        <w:t>，覆盖</w:t>
      </w:r>
      <w:r>
        <w:rPr>
          <w:rFonts w:ascii="仿宋_GB2312" w:hAnsi="仿宋_GB2312" w:eastAsia="仿宋_GB2312"/>
          <w:b/>
          <w:sz w:val="32"/>
        </w:rPr>
        <w:t>11个</w:t>
      </w:r>
      <w:r>
        <w:rPr>
          <w:rFonts w:ascii="仿宋_GB2312" w:hAnsi="仿宋_GB2312" w:eastAsia="仿宋_GB2312"/>
          <w:sz w:val="32"/>
        </w:rPr>
        <w:t>国家和地区【附件2】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所有国际业务平台均实现承保盈利【附件1】</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牵头国际核保险共同体体系**多项规则与标准制定【附件4】</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聚焦</w:t>
      </w:r>
      <w:r>
        <w:rPr>
          <w:rFonts w:ascii="仿宋_GB2312" w:hAnsi="仿宋_GB2312" w:eastAsia="仿宋_GB2312"/>
          <w:b/>
          <w:sz w:val="32"/>
        </w:rPr>
        <w:t>政治暴力险、恐怖主义险、延迟完工责任</w:t>
      </w:r>
      <w:r>
        <w:rPr>
          <w:rFonts w:ascii="仿宋_GB2312" w:hAnsi="仿宋_GB2312" w:eastAsia="仿宋_GB2312"/>
          <w:sz w:val="32"/>
        </w:rPr>
        <w:t>等特殊风险领域附件4】</w:t>
      </w:r>
    </w:p>
    <w:p>
      <w:pPr>
        <w:spacing w:line="360" w:lineRule="auto" w:before="240" w:after="120"/>
        <w:ind w:firstLine="420"/>
        <w:jc w:val="left"/>
      </w:pPr>
      <w:r>
        <w:rPr>
          <w:rFonts w:ascii="仿宋_GB2312" w:hAnsi="仿宋_GB2312" w:eastAsia="仿宋_GB2312"/>
          <w:b/>
          <w:sz w:val="32"/>
        </w:rPr>
        <w:t>2.1.6 一带一路再保险共同体</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担任主席单位，成员从</w:t>
      </w:r>
      <w:r>
        <w:rPr>
          <w:rFonts w:ascii="仿宋_GB2312" w:hAnsi="仿宋_GB2312" w:eastAsia="仿宋_GB2312"/>
          <w:b/>
          <w:sz w:val="32"/>
        </w:rPr>
        <w:t>11家</w:t>
      </w:r>
      <w:r>
        <w:rPr>
          <w:rFonts w:ascii="仿宋_GB2312" w:hAnsi="仿宋_GB2312" w:eastAsia="仿宋_GB2312"/>
          <w:sz w:val="32"/>
        </w:rPr>
        <w:t>增至</w:t>
      </w:r>
      <w:r>
        <w:rPr>
          <w:rFonts w:ascii="仿宋_GB2312" w:hAnsi="仿宋_GB2312" w:eastAsia="仿宋_GB2312"/>
          <w:b/>
          <w:sz w:val="32"/>
        </w:rPr>
        <w:t>24家</w:t>
      </w:r>
      <w:r>
        <w:rPr>
          <w:rFonts w:ascii="仿宋_GB2312" w:hAnsi="仿宋_GB2312" w:eastAsia="仿宋_GB2312"/>
          <w:sz w:val="32"/>
        </w:rPr>
        <w:t>【附件2】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累计承保项目超</w:t>
      </w:r>
      <w:r>
        <w:rPr>
          <w:rFonts w:ascii="仿宋_GB2312" w:hAnsi="仿宋_GB2312" w:eastAsia="仿宋_GB2312"/>
          <w:b/>
          <w:sz w:val="32"/>
        </w:rPr>
        <w:t>230个</w:t>
      </w:r>
      <w:r>
        <w:rPr>
          <w:rFonts w:ascii="仿宋_GB2312" w:hAnsi="仿宋_GB2312" w:eastAsia="仿宋_GB2312"/>
          <w:sz w:val="32"/>
        </w:rPr>
        <w:t>，遍及</w:t>
      </w:r>
      <w:r>
        <w:rPr>
          <w:rFonts w:ascii="仿宋_GB2312" w:hAnsi="仿宋_GB2312" w:eastAsia="仿宋_GB2312"/>
          <w:b/>
          <w:sz w:val="32"/>
        </w:rPr>
        <w:t>43个</w:t>
      </w:r>
      <w:r>
        <w:rPr>
          <w:rFonts w:ascii="仿宋_GB2312" w:hAnsi="仿宋_GB2312" w:eastAsia="仿宋_GB2312"/>
          <w:sz w:val="32"/>
        </w:rPr>
        <w:t>国家地区【附件2】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保障境外总资产规模超</w:t>
      </w:r>
      <w:r>
        <w:rPr>
          <w:rFonts w:ascii="仿宋_GB2312" w:hAnsi="仿宋_GB2312" w:eastAsia="仿宋_GB2312"/>
          <w:b/>
          <w:sz w:val="32"/>
        </w:rPr>
        <w:t>2,500亿元</w:t>
      </w:r>
      <w:r>
        <w:rPr>
          <w:rFonts w:ascii="仿宋_GB2312" w:hAnsi="仿宋_GB2312" w:eastAsia="仿宋_GB2312"/>
          <w:sz w:val="32"/>
        </w:rPr>
        <w:t>【附件2】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2026年启动</w:t>
      </w:r>
      <w:r>
        <w:rPr>
          <w:rFonts w:ascii="仿宋_GB2312" w:hAnsi="仿宋_GB2312" w:eastAsia="仿宋_GB2312"/>
          <w:b/>
          <w:sz w:val="32"/>
        </w:rPr>
        <w:t>新型储能风险</w:t>
      </w:r>
      <w:r>
        <w:rPr>
          <w:rFonts w:ascii="仿宋_GB2312" w:hAnsi="仿宋_GB2312" w:eastAsia="仿宋_GB2312"/>
          <w:sz w:val="32"/>
        </w:rPr>
        <w:t>及</w:t>
      </w:r>
      <w:r>
        <w:rPr>
          <w:rFonts w:ascii="仿宋_GB2312" w:hAnsi="仿宋_GB2312" w:eastAsia="仿宋_GB2312"/>
          <w:b/>
          <w:sz w:val="32"/>
        </w:rPr>
        <w:t>境外电化学储能能效保证</w:t>
      </w:r>
      <w:r>
        <w:rPr>
          <w:rFonts w:ascii="仿宋_GB2312" w:hAnsi="仿宋_GB2312" w:eastAsia="仿宋_GB2312"/>
          <w:sz w:val="32"/>
        </w:rPr>
        <w:t>专项课题【附件3】</w:t>
      </w:r>
    </w:p>
    <w:p>
      <w:pPr>
        <w:spacing w:line="360" w:lineRule="auto"/>
        <w:ind w:firstLine="420"/>
        <w:jc w:val="both"/>
      </w:pPr>
      <w:r>
        <w:rPr>
          <w:rFonts w:ascii="仿宋_GB2312" w:hAnsi="仿宋_GB2312" w:eastAsia="仿宋_GB2312"/>
          <w:sz w:val="32"/>
        </w:rPr>
        <w:t>2.1.7 巨灾保险体系建设</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深度参与</w:t>
      </w:r>
      <w:r>
        <w:rPr>
          <w:rFonts w:ascii="仿宋_GB2312" w:hAnsi="仿宋_GB2312" w:eastAsia="仿宋_GB2312"/>
          <w:b/>
          <w:sz w:val="32"/>
        </w:rPr>
        <w:t>22个省市</w:t>
      </w:r>
      <w:r>
        <w:rPr>
          <w:rFonts w:ascii="仿宋_GB2312" w:hAnsi="仿宋_GB2312" w:eastAsia="仿宋_GB2312"/>
          <w:sz w:val="32"/>
        </w:rPr>
        <w:t>政策性巨灾保险项目【附件2】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上线中国巨灾风险地图二期，</w:t>
      </w:r>
      <w:r>
        <w:rPr>
          <w:rFonts w:ascii="仿宋_GB2312" w:hAnsi="仿宋_GB2312" w:eastAsia="仿宋_GB2312"/>
          <w:b/>
          <w:sz w:val="32"/>
        </w:rPr>
        <w:t>30多家</w:t>
      </w:r>
      <w:r>
        <w:rPr>
          <w:rFonts w:ascii="仿宋_GB2312" w:hAnsi="仿宋_GB2312" w:eastAsia="仿宋_GB2312"/>
          <w:sz w:val="32"/>
        </w:rPr>
        <w:t>政企机构深度应用【附件2】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成立气候风险研究中心，推出国内首个气候变化风险洞察平台【附件2】</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完成中再巨灾公司增资【附件1】</w:t>
      </w:r>
    </w:p>
    <w:p>
      <w:pPr>
        <w:spacing w:line="360" w:lineRule="auto" w:before="240" w:after="120"/>
        <w:ind w:firstLine="420"/>
        <w:jc w:val="left"/>
      </w:pPr>
      <w:r>
        <w:rPr>
          <w:rFonts w:ascii="仿宋_GB2312" w:hAnsi="仿宋_GB2312" w:eastAsia="仿宋_GB2312"/>
          <w:b/>
          <w:sz w:val="32"/>
        </w:rPr>
        <w:t>2.1.8 市场偏好总结</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维度</w:t>
            </w:r>
          </w:p>
        </w:tc>
        <w:tc>
          <w:tcPr>
            <w:tcW w:type="dxa" w:w="4589"/>
            <w:shd w:fill="000000"/>
            <w:vAlign w:val="center"/>
          </w:tcPr>
          <w:p>
            <w:pPr>
              <w:spacing w:before="60" w:after="60"/>
              <w:jc w:val="center"/>
            </w:pPr>
            <w:r>
              <w:rPr>
                <w:rFonts w:ascii="仿宋_GB2312" w:hAnsi="仿宋_GB2312" w:eastAsia="仿宋_GB2312"/>
                <w:b/>
                <w:color w:val="FFFFFF"/>
                <w:sz w:val="28"/>
              </w:rPr>
              <w:t>具体偏好</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核心险种</w:t>
            </w:r>
          </w:p>
        </w:tc>
        <w:tc>
          <w:tcPr>
            <w:tcW w:type="dxa" w:w="4589"/>
            <w:vAlign w:val="center"/>
          </w:tcPr>
          <w:p>
            <w:pPr>
              <w:spacing w:before="60" w:after="60"/>
              <w:jc w:val="center"/>
            </w:pPr>
            <w:r>
              <w:rPr>
                <w:rFonts w:ascii="仿宋_GB2312" w:hAnsi="仿宋_GB2312" w:eastAsia="仿宋_GB2312"/>
                <w:sz w:val="28"/>
              </w:rPr>
              <w:t>核保险（全球领先）、一带一路风险、政治暴力险、恐怖主义险、延迟完工责任</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重点区域</w:t>
            </w:r>
          </w:p>
        </w:tc>
        <w:tc>
          <w:tcPr>
            <w:tcW w:type="dxa" w:w="4589"/>
            <w:vAlign w:val="center"/>
            <w:shd w:fill="F5F5F5"/>
          </w:tcPr>
          <w:p>
            <w:pPr>
              <w:spacing w:before="60" w:after="60"/>
              <w:jc w:val="center"/>
            </w:pPr>
            <w:r>
              <w:rPr>
                <w:rFonts w:ascii="仿宋_GB2312" w:hAnsi="仿宋_GB2312" w:eastAsia="仿宋_GB2312"/>
                <w:sz w:val="28"/>
              </w:rPr>
              <w:t>一带一路沿线（43国）、东南亚、非洲、拉美、11国机构网络</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合作对象</w:t>
            </w:r>
          </w:p>
        </w:tc>
        <w:tc>
          <w:tcPr>
            <w:tcW w:type="dxa" w:w="4589"/>
            <w:vAlign w:val="center"/>
          </w:tcPr>
          <w:p>
            <w:pPr>
              <w:spacing w:before="60" w:after="60"/>
              <w:jc w:val="center"/>
            </w:pPr>
            <w:r>
              <w:rPr>
                <w:rFonts w:ascii="仿宋_GB2312" w:hAnsi="仿宋_GB2312" w:eastAsia="仿宋_GB2312"/>
                <w:sz w:val="28"/>
              </w:rPr>
              <w:t>国内大型直保公司、政策性保险机构、国际再保险共同体</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增长引擎</w:t>
            </w:r>
          </w:p>
        </w:tc>
        <w:tc>
          <w:tcPr>
            <w:tcW w:type="dxa" w:w="4589"/>
            <w:vAlign w:val="center"/>
            <w:shd w:fill="F5F5F5"/>
          </w:tcPr>
          <w:p>
            <w:pPr>
              <w:spacing w:before="60" w:after="60"/>
              <w:jc w:val="center"/>
            </w:pPr>
            <w:r>
              <w:rPr>
                <w:rFonts w:ascii="仿宋_GB2312" w:hAnsi="仿宋_GB2312" w:eastAsia="仿宋_GB2312"/>
                <w:sz w:val="28"/>
              </w:rPr>
              <w:t>国际化（境外保费占比18.2%）、科技数字化、巨灾保险</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风控重点</w:t>
            </w:r>
          </w:p>
        </w:tc>
        <w:tc>
          <w:tcPr>
            <w:tcW w:type="dxa" w:w="4589"/>
            <w:vAlign w:val="center"/>
          </w:tcPr>
          <w:p>
            <w:pPr>
              <w:spacing w:before="60" w:after="60"/>
              <w:jc w:val="center"/>
            </w:pPr>
            <w:r>
              <w:rPr>
                <w:rFonts w:ascii="仿宋_GB2312" w:hAnsi="仿宋_GB2312" w:eastAsia="仿宋_GB2312"/>
                <w:sz w:val="28"/>
              </w:rPr>
              <w:t>信用风险、巨灾聚集风险、海外政治风险</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转型方向</w:t>
            </w:r>
          </w:p>
        </w:tc>
        <w:tc>
          <w:tcPr>
            <w:tcW w:type="dxa" w:w="4589"/>
            <w:vAlign w:val="center"/>
            <w:shd w:fill="F5F5F5"/>
          </w:tcPr>
          <w:p>
            <w:pPr>
              <w:spacing w:before="60" w:after="60"/>
              <w:jc w:val="center"/>
            </w:pPr>
            <w:r>
              <w:rPr>
                <w:rFonts w:ascii="仿宋_GB2312" w:hAnsi="仿宋_GB2312" w:eastAsia="仿宋_GB2312"/>
                <w:sz w:val="28"/>
              </w:rPr>
              <w:t>从传统再保险向"保险+科技+服务"综合风险解决方案转型</w:t>
            </w:r>
          </w:p>
        </w:tc>
      </w:tr>
    </w:tbl>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2.2 太平再保险</w:t>
      </w:r>
    </w:p>
    <w:p>
      <w:pPr>
        <w:spacing w:line="360" w:lineRule="auto" w:before="240" w:after="120"/>
        <w:ind w:firstLine="420"/>
        <w:jc w:val="left"/>
      </w:pPr>
      <w:r>
        <w:rPr>
          <w:rFonts w:ascii="仿宋_GB2312" w:hAnsi="仿宋_GB2312" w:eastAsia="仿宋_GB2312"/>
          <w:b/>
          <w:sz w:val="32"/>
        </w:rPr>
        <w:t>2.2.1 企业定位</w:t>
      </w:r>
    </w:p>
    <w:p>
      <w:pPr>
        <w:spacing w:line="360" w:lineRule="auto"/>
        <w:ind w:firstLine="420"/>
        <w:jc w:val="both"/>
      </w:pPr>
      <w:r>
        <w:rPr>
          <w:rFonts w:ascii="仿宋_GB2312" w:hAnsi="仿宋_GB2312" w:eastAsia="仿宋_GB2312"/>
          <w:sz w:val="32"/>
        </w:rPr>
        <w:t>太平再保险有限公司（香港）及太平再保险（中国）有限公司（北京），隶属中国太平集团，定位为"立足港澳、辐射亚太"的区域型再保险龙头。【附件10】</w:t>
      </w:r>
    </w:p>
    <w:p>
      <w:pPr>
        <w:spacing w:line="360" w:lineRule="auto"/>
        <w:ind w:firstLine="420"/>
        <w:jc w:val="both"/>
      </w:pPr>
      <w:r>
        <w:rPr>
          <w:rFonts w:ascii="仿宋_GB2312" w:hAnsi="仿宋_GB2312" w:eastAsia="仿宋_GB2312"/>
          <w:sz w:val="32"/>
        </w:rPr>
        <w:t>2.2.2 核心业务</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业务板块</w:t>
            </w:r>
          </w:p>
        </w:tc>
        <w:tc>
          <w:tcPr>
            <w:tcW w:type="dxa" w:w="4589"/>
            <w:shd w:fill="000000"/>
            <w:vAlign w:val="center"/>
          </w:tcPr>
          <w:p>
            <w:pPr>
              <w:spacing w:before="60" w:after="60"/>
              <w:jc w:val="center"/>
            </w:pPr>
            <w:r>
              <w:rPr>
                <w:rFonts w:ascii="仿宋_GB2312" w:hAnsi="仿宋_GB2312" w:eastAsia="仿宋_GB2312"/>
                <w:b/>
                <w:color w:val="FFFFFF"/>
                <w:sz w:val="28"/>
              </w:rPr>
              <w:t>细分领域</w:t>
            </w:r>
          </w:p>
        </w:tc>
      </w:tr>
      <w:tr>
        <w:tc>
          <w:tcPr>
            <w:tcW w:type="dxa" w:w="4589"/>
            <w:vAlign w:val="center"/>
          </w:tcPr>
          <w:p>
            <w:pPr>
              <w:spacing w:before="60" w:after="60"/>
              <w:jc w:val="center"/>
            </w:pPr>
            <w:r>
              <w:rPr>
                <w:rFonts w:ascii="仿宋_GB2312" w:hAnsi="仿宋_GB2312" w:eastAsia="仿宋_GB2312"/>
                <w:sz w:val="28"/>
              </w:rPr>
              <w:t>财产再保险</w:t>
            </w:r>
          </w:p>
        </w:tc>
        <w:tc>
          <w:tcPr>
            <w:tcW w:type="dxa" w:w="4589"/>
            <w:vAlign w:val="center"/>
          </w:tcPr>
          <w:p>
            <w:pPr>
              <w:spacing w:before="60" w:after="60"/>
              <w:jc w:val="center"/>
            </w:pPr>
            <w:r>
              <w:rPr>
                <w:rFonts w:ascii="仿宋_GB2312" w:hAnsi="仿宋_GB2312" w:eastAsia="仿宋_GB2312"/>
                <w:sz w:val="28"/>
              </w:rPr>
              <w:t>火险、水险、工程险、意外险、责任险</w:t>
            </w:r>
          </w:p>
        </w:tc>
      </w:tr>
      <w:tr>
        <w:tc>
          <w:tcPr>
            <w:tcW w:type="dxa" w:w="4589"/>
            <w:vAlign w:val="center"/>
            <w:shd w:fill="F5F5F5"/>
          </w:tcPr>
          <w:p>
            <w:pPr>
              <w:spacing w:before="60" w:after="60"/>
              <w:jc w:val="center"/>
            </w:pPr>
            <w:r>
              <w:rPr>
                <w:rFonts w:ascii="仿宋_GB2312" w:hAnsi="仿宋_GB2312" w:eastAsia="仿宋_GB2312"/>
                <w:sz w:val="28"/>
              </w:rPr>
              <w:t>寿险再保险</w:t>
            </w:r>
          </w:p>
        </w:tc>
        <w:tc>
          <w:tcPr>
            <w:tcW w:type="dxa" w:w="4589"/>
            <w:vAlign w:val="center"/>
            <w:shd w:fill="F5F5F5"/>
          </w:tcPr>
          <w:p>
            <w:pPr>
              <w:spacing w:before="60" w:after="60"/>
              <w:jc w:val="center"/>
            </w:pPr>
            <w:r>
              <w:rPr>
                <w:rFonts w:ascii="仿宋_GB2312" w:hAnsi="仿宋_GB2312" w:eastAsia="仿宋_GB2312"/>
                <w:sz w:val="28"/>
              </w:rPr>
              <w:t>保障型寿险、健康险、年金</w:t>
            </w:r>
          </w:p>
        </w:tc>
      </w:tr>
      <w:tr>
        <w:tc>
          <w:tcPr>
            <w:tcW w:type="dxa" w:w="4589"/>
            <w:vAlign w:val="center"/>
          </w:tcPr>
          <w:p>
            <w:pPr>
              <w:spacing w:before="60" w:after="60"/>
              <w:jc w:val="center"/>
            </w:pPr>
            <w:r>
              <w:rPr>
                <w:rFonts w:ascii="仿宋_GB2312" w:hAnsi="仿宋_GB2312" w:eastAsia="仿宋_GB2312"/>
                <w:sz w:val="28"/>
              </w:rPr>
              <w:t>创新业务</w:t>
            </w:r>
          </w:p>
        </w:tc>
        <w:tc>
          <w:tcPr>
            <w:tcW w:type="dxa" w:w="4589"/>
            <w:vAlign w:val="center"/>
          </w:tcPr>
          <w:p>
            <w:pPr>
              <w:spacing w:before="60" w:after="60"/>
              <w:jc w:val="center"/>
            </w:pPr>
            <w:r>
              <w:rPr>
                <w:rFonts w:ascii="仿宋_GB2312" w:hAnsi="仿宋_GB2312" w:eastAsia="仿宋_GB2312"/>
                <w:sz w:val="28"/>
              </w:rPr>
              <w:t>大湾区跨境保险、"一带一路"项目保险、海南自贸港特殊风险</w:t>
            </w:r>
          </w:p>
        </w:tc>
      </w:tr>
    </w:tbl>
    <w:p/>
    <w:p>
      <w:pPr>
        <w:spacing w:line="360" w:lineRule="auto" w:before="240" w:after="120"/>
        <w:ind w:firstLine="420"/>
        <w:jc w:val="left"/>
      </w:pPr>
      <w:r>
        <w:rPr>
          <w:rFonts w:ascii="仿宋_GB2312" w:hAnsi="仿宋_GB2312" w:eastAsia="仿宋_GB2312"/>
          <w:b/>
          <w:sz w:val="32"/>
        </w:rPr>
        <w:t>22.3 市场偏好</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维度</w:t>
            </w:r>
          </w:p>
        </w:tc>
        <w:tc>
          <w:tcPr>
            <w:tcW w:type="dxa" w:w="4589"/>
            <w:shd w:fill="000000"/>
            <w:vAlign w:val="center"/>
          </w:tcPr>
          <w:p>
            <w:pPr>
              <w:spacing w:before="60" w:after="60"/>
              <w:jc w:val="center"/>
            </w:pPr>
            <w:r>
              <w:rPr>
                <w:rFonts w:ascii="仿宋_GB2312" w:hAnsi="仿宋_GB2312" w:eastAsia="仿宋_GB2312"/>
                <w:b/>
                <w:color w:val="FFFFFF"/>
                <w:sz w:val="28"/>
              </w:rPr>
              <w:t>偏好</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区域</w:t>
            </w:r>
          </w:p>
        </w:tc>
        <w:tc>
          <w:tcPr>
            <w:tcW w:type="dxa" w:w="4589"/>
            <w:vAlign w:val="center"/>
          </w:tcPr>
          <w:p>
            <w:pPr>
              <w:spacing w:before="60" w:after="60"/>
              <w:jc w:val="center"/>
            </w:pPr>
            <w:r>
              <w:rPr>
                <w:rFonts w:ascii="仿宋_GB2312" w:hAnsi="仿宋_GB2312" w:eastAsia="仿宋_GB2312"/>
                <w:sz w:val="28"/>
              </w:rPr>
              <w:t>港澳、大湾区、东南亚、一带一路沿线</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合作模式</w:t>
            </w:r>
            <w:r>
              <w:rPr>
                <w:rFonts w:ascii="仿宋_GB2312" w:hAnsi="仿宋_GB2312" w:eastAsia="仿宋_GB2312"/>
                <w:sz w:val="28"/>
              </w:rPr>
              <w:t xml:space="preserve"> 比例再保险和临时分保为主</w:t>
            </w:r>
          </w:p>
        </w:tc>
        <w:tc>
          <w:tcPr>
            <w:tcW w:type="dxa" w:w="4589"/>
            <w:vAlign w:val="center"/>
            <w:shd w:fill="F5F5F5"/>
          </w:tcPr>
          <w:p>
            <w:pPr>
              <w:spacing w:before="60" w:after="60"/>
              <w:jc w:val="center"/>
            </w:pP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增长方向</w:t>
            </w:r>
          </w:p>
        </w:tc>
        <w:tc>
          <w:tcPr>
            <w:tcW w:type="dxa" w:w="4589"/>
            <w:vAlign w:val="center"/>
          </w:tcPr>
          <w:p>
            <w:pPr>
              <w:spacing w:before="60" w:after="60"/>
              <w:jc w:val="center"/>
            </w:pPr>
            <w:r>
              <w:rPr>
                <w:rFonts w:ascii="仿宋_GB2312" w:hAnsi="仿宋_GB2312" w:eastAsia="仿宋_GB2312"/>
                <w:sz w:val="28"/>
              </w:rPr>
              <w:t>大湾区跨境保险创新、绿色保险再保险</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出处：</w:t>
      </w:r>
      <w:r>
        <w:rPr>
          <w:rFonts w:ascii="仿宋_GB2312" w:hAnsi="仿宋_GB2312" w:eastAsia="仿宋_GB2312"/>
          <w:sz w:val="32"/>
        </w:rPr>
        <w:t xml:space="preserve"> 基于中国太平集团战略和行业公开信息综合研判【附件10】</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2.3 人保再保险</w:t>
      </w:r>
    </w:p>
    <w:p>
      <w:pPr>
        <w:spacing w:line="360" w:lineRule="auto" w:before="240" w:after="120"/>
        <w:ind w:firstLine="420"/>
        <w:jc w:val="left"/>
      </w:pPr>
      <w:r>
        <w:rPr>
          <w:rFonts w:ascii="仿宋_GB2312" w:hAnsi="仿宋_GB2312" w:eastAsia="仿宋_GB2312"/>
          <w:b/>
          <w:sz w:val="32"/>
        </w:rPr>
        <w:t>2.3.1 企业定位</w:t>
      </w:r>
    </w:p>
    <w:p>
      <w:pPr>
        <w:spacing w:line="360" w:lineRule="auto"/>
        <w:ind w:firstLine="420"/>
        <w:jc w:val="both"/>
      </w:pPr>
      <w:r>
        <w:rPr>
          <w:rFonts w:ascii="仿宋_GB2312" w:hAnsi="仿宋_GB2312" w:eastAsia="仿宋_GB2312"/>
          <w:sz w:val="32"/>
        </w:rPr>
        <w:t>人保再保险股份有限公司（2017年成立），隶属中国人保集团，定位"内部协同+外部市场化"双轮驱动。【附件10】</w:t>
      </w:r>
    </w:p>
    <w:p>
      <w:pPr>
        <w:spacing w:line="360" w:lineRule="auto" w:before="240" w:after="120"/>
        <w:ind w:firstLine="420"/>
        <w:jc w:val="left"/>
      </w:pPr>
      <w:r>
        <w:rPr>
          <w:rFonts w:ascii="仿宋_GB2312" w:hAnsi="仿宋_GB2312" w:eastAsia="仿宋_GB2312"/>
          <w:b/>
          <w:sz w:val="32"/>
        </w:rPr>
        <w:t>2.3.2 核心业务</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业务板块</w:t>
            </w:r>
          </w:p>
        </w:tc>
        <w:tc>
          <w:tcPr>
            <w:tcW w:type="dxa" w:w="4589"/>
            <w:shd w:fill="000000"/>
            <w:vAlign w:val="center"/>
          </w:tcPr>
          <w:p>
            <w:pPr>
              <w:spacing w:before="60" w:after="60"/>
              <w:jc w:val="center"/>
            </w:pPr>
            <w:r>
              <w:rPr>
                <w:rFonts w:ascii="仿宋_GB2312" w:hAnsi="仿宋_GB2312" w:eastAsia="仿宋_GB2312"/>
                <w:b/>
                <w:color w:val="FFFFFF"/>
                <w:sz w:val="28"/>
              </w:rPr>
              <w:t>细分领域</w:t>
            </w:r>
          </w:p>
        </w:tc>
      </w:tr>
      <w:tr>
        <w:tc>
          <w:tcPr>
            <w:tcW w:type="dxa" w:w="4589"/>
            <w:vAlign w:val="center"/>
          </w:tcPr>
          <w:p>
            <w:pPr>
              <w:spacing w:before="60" w:after="60"/>
              <w:jc w:val="center"/>
            </w:pPr>
            <w:r>
              <w:rPr>
                <w:rFonts w:ascii="仿宋_GB2312" w:hAnsi="仿宋_GB2312" w:eastAsia="仿宋_GB2312"/>
                <w:sz w:val="28"/>
              </w:rPr>
              <w:t>财产险再保险</w:t>
            </w:r>
          </w:p>
        </w:tc>
        <w:tc>
          <w:tcPr>
            <w:tcW w:type="dxa" w:w="4589"/>
            <w:vAlign w:val="center"/>
          </w:tcPr>
          <w:p>
            <w:pPr>
              <w:spacing w:before="60" w:after="60"/>
              <w:jc w:val="center"/>
            </w:pPr>
            <w:r>
              <w:rPr>
                <w:rFonts w:ascii="仿宋_GB2312" w:hAnsi="仿宋_GB2312" w:eastAsia="仿宋_GB2312"/>
                <w:sz w:val="28"/>
              </w:rPr>
              <w:t>车险、企财险、责任险、农业保险</w:t>
            </w:r>
          </w:p>
        </w:tc>
      </w:tr>
      <w:tr>
        <w:tc>
          <w:tcPr>
            <w:tcW w:type="dxa" w:w="4589"/>
            <w:vAlign w:val="center"/>
            <w:shd w:fill="F5F5F5"/>
          </w:tcPr>
          <w:p>
            <w:pPr>
              <w:spacing w:before="60" w:after="60"/>
              <w:jc w:val="center"/>
            </w:pPr>
            <w:r>
              <w:rPr>
                <w:rFonts w:ascii="仿宋_GB2312" w:hAnsi="仿宋_GB2312" w:eastAsia="仿宋_GB2312"/>
                <w:sz w:val="28"/>
              </w:rPr>
              <w:t>人身险再保险</w:t>
            </w:r>
          </w:p>
        </w:tc>
        <w:tc>
          <w:tcPr>
            <w:tcW w:type="dxa" w:w="4589"/>
            <w:vAlign w:val="center"/>
            <w:shd w:fill="F5F5F5"/>
          </w:tcPr>
          <w:p>
            <w:pPr>
              <w:spacing w:before="60" w:after="60"/>
              <w:jc w:val="center"/>
            </w:pPr>
            <w:r>
              <w:rPr>
                <w:rFonts w:ascii="仿宋_GB2312" w:hAnsi="仿宋_GB2312" w:eastAsia="仿宋_GB2312"/>
                <w:sz w:val="28"/>
              </w:rPr>
              <w:t>寿险、意外健康险</w:t>
            </w:r>
          </w:p>
        </w:tc>
      </w:tr>
      <w:tr>
        <w:tc>
          <w:tcPr>
            <w:tcW w:type="dxa" w:w="4589"/>
            <w:vAlign w:val="center"/>
          </w:tcPr>
          <w:p>
            <w:pPr>
              <w:spacing w:before="60" w:after="60"/>
              <w:jc w:val="center"/>
            </w:pPr>
            <w:r>
              <w:rPr>
                <w:rFonts w:ascii="仿宋_GB2312" w:hAnsi="仿宋_GB2312" w:eastAsia="仿宋_GB2312"/>
                <w:sz w:val="28"/>
              </w:rPr>
              <w:t>政策性业务</w:t>
            </w:r>
          </w:p>
        </w:tc>
        <w:tc>
          <w:tcPr>
            <w:tcW w:type="dxa" w:w="4589"/>
            <w:vAlign w:val="center"/>
          </w:tcPr>
          <w:p>
            <w:pPr>
              <w:spacing w:before="60" w:after="60"/>
              <w:jc w:val="center"/>
            </w:pPr>
            <w:r>
              <w:rPr>
                <w:rFonts w:ascii="仿宋_GB2312" w:hAnsi="仿宋_GB2312" w:eastAsia="仿宋_GB2312"/>
                <w:sz w:val="28"/>
              </w:rPr>
              <w:t>政策性农业保险再保险、巨灾风险再保险</w:t>
            </w:r>
          </w:p>
        </w:tc>
      </w:tr>
    </w:tbl>
    <w:p/>
    <w:p>
      <w:pPr>
        <w:spacing w:line="360" w:lineRule="auto" w:before="240" w:after="120"/>
        <w:ind w:firstLine="420"/>
        <w:jc w:val="left"/>
      </w:pPr>
      <w:r>
        <w:rPr>
          <w:rFonts w:ascii="仿宋_GB2312" w:hAnsi="仿宋_GB2312" w:eastAsia="仿宋_GB2312"/>
          <w:b/>
          <w:sz w:val="32"/>
        </w:rPr>
        <w:t>2.3.3 市场偏好</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维度</w:t>
            </w:r>
          </w:p>
        </w:tc>
        <w:tc>
          <w:tcPr>
            <w:tcW w:type="dxa" w:w="4589"/>
            <w:shd w:fill="000000"/>
            <w:vAlign w:val="center"/>
          </w:tcPr>
          <w:p>
            <w:pPr>
              <w:spacing w:before="60" w:after="60"/>
              <w:jc w:val="center"/>
            </w:pPr>
            <w:r>
              <w:rPr>
                <w:rFonts w:ascii="仿宋_GB2312" w:hAnsi="仿宋_GB2312" w:eastAsia="仿宋_GB2312"/>
                <w:b/>
                <w:color w:val="FFFFFF"/>
                <w:sz w:val="28"/>
              </w:rPr>
              <w:t>偏好</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核心客户</w:t>
            </w:r>
          </w:p>
        </w:tc>
        <w:tc>
          <w:tcPr>
            <w:tcW w:type="dxa" w:w="4589"/>
            <w:vAlign w:val="center"/>
          </w:tcPr>
          <w:p>
            <w:pPr>
              <w:spacing w:before="60" w:after="60"/>
              <w:jc w:val="center"/>
            </w:pPr>
            <w:r>
              <w:rPr>
                <w:rFonts w:ascii="仿宋_GB2312" w:hAnsi="仿宋_GB2312" w:eastAsia="仿宋_GB2312"/>
                <w:sz w:val="28"/>
              </w:rPr>
              <w:t>人保集团内部 + 中小型直保公司</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增长方向</w:t>
            </w:r>
          </w:p>
        </w:tc>
        <w:tc>
          <w:tcPr>
            <w:tcW w:type="dxa" w:w="4589"/>
            <w:vAlign w:val="center"/>
            <w:shd w:fill="F5F5F5"/>
          </w:tcPr>
          <w:p>
            <w:pPr>
              <w:spacing w:before="60" w:after="60"/>
              <w:jc w:val="center"/>
            </w:pPr>
            <w:r>
              <w:rPr>
                <w:rFonts w:ascii="仿宋_GB2312" w:hAnsi="仿宋_GB2312" w:eastAsia="仿宋_GB2312"/>
                <w:sz w:val="28"/>
              </w:rPr>
              <w:t>农险再保险、科技保险、新能源车险再保险</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注意</w:t>
            </w:r>
          </w:p>
        </w:tc>
        <w:tc>
          <w:tcPr>
            <w:tcW w:type="dxa" w:w="4589"/>
            <w:vAlign w:val="center"/>
          </w:tcPr>
          <w:p>
            <w:pPr>
              <w:spacing w:before="60" w:after="60"/>
              <w:jc w:val="center"/>
            </w:pPr>
            <w:r>
              <w:rPr>
                <w:rFonts w:ascii="仿宋_GB2312" w:hAnsi="仿宋_GB2312" w:eastAsia="仿宋_GB2312"/>
                <w:sz w:val="28"/>
              </w:rPr>
              <w:t>成立时间较短，评级和历史经验积累中</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出处：</w:t>
      </w:r>
      <w:r>
        <w:rPr>
          <w:rFonts w:ascii="仿宋_GB2312" w:hAnsi="仿宋_GB2312" w:eastAsia="仿宋_GB2312"/>
          <w:sz w:val="32"/>
        </w:rPr>
        <w:t xml:space="preserve"> 基于中国人保集团战略和行业公开信息综合研判【附件10】</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2.4 慕尼黑再保险（中国）</w:t>
      </w:r>
    </w:p>
    <w:p>
      <w:pPr>
        <w:spacing w:line="360" w:lineRule="auto" w:before="240" w:after="120"/>
        <w:ind w:firstLine="420"/>
        <w:jc w:val="left"/>
      </w:pPr>
      <w:r>
        <w:rPr>
          <w:rFonts w:ascii="仿宋_GB2312" w:hAnsi="仿宋_GB2312" w:eastAsia="仿宋_GB2312"/>
          <w:b/>
          <w:sz w:val="32"/>
        </w:rPr>
        <w:t>企业概况</w:t>
      </w:r>
    </w:p>
    <w:p>
      <w:pPr>
        <w:spacing w:line="360" w:lineRule="auto"/>
        <w:ind w:firstLine="420"/>
        <w:jc w:val="both"/>
      </w:pPr>
      <w:r>
        <w:rPr>
          <w:rFonts w:ascii="仿宋_GB2312" w:hAnsi="仿宋_GB2312" w:eastAsia="仿宋_GB2312"/>
          <w:sz w:val="32"/>
        </w:rPr>
        <w:t>慕尼黑再保险（Munich Re）是全球最大再保险公司之一（集团保费约600亿欧元），北京分公司负责中国业务。【附件7】</w:t>
      </w:r>
    </w:p>
    <w:p>
      <w:pPr>
        <w:spacing w:line="360" w:lineRule="auto" w:before="240" w:after="120"/>
        <w:ind w:firstLine="420"/>
        <w:jc w:val="left"/>
      </w:pPr>
      <w:r>
        <w:rPr>
          <w:rFonts w:ascii="仿宋_GB2312" w:hAnsi="仿宋_GB2312" w:eastAsia="仿宋_GB2312"/>
          <w:b/>
          <w:sz w:val="32"/>
        </w:rPr>
        <w:t>2.4.2 核心竞争优势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巨灾模型（NatCatSERVICE）</w:t>
      </w:r>
      <w:r>
        <w:rPr>
          <w:rFonts w:ascii="仿宋_GB2312" w:hAnsi="仿宋_GB2312" w:eastAsia="仿宋_GB2312"/>
          <w:sz w:val="32"/>
        </w:rPr>
        <w:t>——全球领先的自然灾害损失数据库</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风险管理咨询</w:t>
      </w:r>
      <w:r>
        <w:rPr>
          <w:rFonts w:ascii="仿宋_GB2312" w:hAnsi="仿宋_GB2312" w:eastAsia="仿宋_GB2312"/>
          <w:sz w:val="32"/>
        </w:rPr>
        <w:t>——为直保公司提供精算、风控、再保安排优化</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创新能力</w:t>
      </w:r>
      <w:r>
        <w:rPr>
          <w:rFonts w:ascii="仿宋_GB2312" w:hAnsi="仿宋_GB2312" w:eastAsia="仿宋_GB2312"/>
          <w:sz w:val="32"/>
        </w:rPr>
        <w:t>——在参数化保险、绿色保险、ILS等领域领先</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**全球网络——覆盖50多个国家和地区</w:t>
      </w:r>
    </w:p>
    <w:p>
      <w:pPr>
        <w:spacing w:line="360" w:lineRule="auto" w:before="240" w:after="120"/>
        <w:ind w:firstLine="420"/>
        <w:jc w:val="left"/>
      </w:pPr>
      <w:r>
        <w:rPr>
          <w:rFonts w:ascii="仿宋_GB2312" w:hAnsi="仿宋_GB2312" w:eastAsia="仿宋_GB2312"/>
          <w:b/>
          <w:sz w:val="32"/>
        </w:rPr>
        <w:t>2.4.3 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战略方向</w:t>
            </w:r>
          </w:p>
        </w:tc>
        <w:tc>
          <w:tcPr>
            <w:tcW w:type="dxa" w:w="4589"/>
            <w:shd w:fill="000000"/>
            <w:vAlign w:val="center"/>
          </w:tcPr>
          <w:p>
            <w:pPr>
              <w:spacing w:before="60" w:after="60"/>
              <w:jc w:val="center"/>
            </w:pPr>
            <w:r>
              <w:rPr>
                <w:rFonts w:ascii="仿宋_GB2312" w:hAnsi="仿宋_GB2312" w:eastAsia="仿宋_GB2312"/>
                <w:b/>
                <w:color w:val="FFFFFF"/>
                <w:sz w:val="28"/>
              </w:rPr>
              <w:t>具体措施</w:t>
            </w:r>
          </w:p>
        </w:tc>
      </w:tr>
      <w:tr>
        <w:tc>
          <w:tcPr>
            <w:tcW w:type="dxa" w:w="4589"/>
            <w:vAlign w:val="center"/>
          </w:tcPr>
          <w:p>
            <w:pPr>
              <w:spacing w:before="60" w:after="60"/>
              <w:jc w:val="center"/>
            </w:pPr>
            <w:r>
              <w:rPr>
                <w:rFonts w:ascii="仿宋_GB2312" w:hAnsi="仿宋_GB2312" w:eastAsia="仿宋_GB2312"/>
                <w:sz w:val="28"/>
              </w:rPr>
              <w:t>绿色保险与气候变化</w:t>
            </w:r>
          </w:p>
        </w:tc>
        <w:tc>
          <w:tcPr>
            <w:tcW w:type="dxa" w:w="4589"/>
            <w:vAlign w:val="center"/>
          </w:tcPr>
          <w:p>
            <w:pPr>
              <w:spacing w:before="60" w:after="60"/>
              <w:jc w:val="center"/>
            </w:pPr>
            <w:r>
              <w:rPr>
                <w:rFonts w:ascii="仿宋_GB2312" w:hAnsi="仿宋_GB2312" w:eastAsia="仿宋_GB2312"/>
                <w:sz w:val="28"/>
              </w:rPr>
              <w:t>发展气候变化风险管理、绿色转型保险</w:t>
            </w:r>
          </w:p>
        </w:tc>
      </w:tr>
      <w:tr>
        <w:tc>
          <w:tcPr>
            <w:tcW w:type="dxa" w:w="4589"/>
            <w:vAlign w:val="center"/>
            <w:shd w:fill="F5F5F5"/>
          </w:tcPr>
          <w:p>
            <w:pPr>
              <w:spacing w:before="60" w:after="60"/>
              <w:jc w:val="center"/>
            </w:pPr>
            <w:r>
              <w:rPr>
                <w:rFonts w:ascii="仿宋_GB2312" w:hAnsi="仿宋_GB2312" w:eastAsia="仿宋_GB2312"/>
                <w:sz w:val="28"/>
              </w:rPr>
              <w:t>数字化与科技赋能</w:t>
            </w:r>
          </w:p>
        </w:tc>
        <w:tc>
          <w:tcPr>
            <w:tcW w:type="dxa" w:w="4589"/>
            <w:vAlign w:val="center"/>
            <w:shd w:fill="F5F5F5"/>
          </w:tcPr>
          <w:p>
            <w:pPr>
              <w:spacing w:before="60" w:after="60"/>
              <w:jc w:val="center"/>
            </w:pPr>
            <w:r>
              <w:rPr>
                <w:rFonts w:ascii="仿宋_GB2312" w:hAnsi="仿宋_GB2312" w:eastAsia="仿宋_GB2312"/>
                <w:sz w:val="28"/>
              </w:rPr>
              <w:t>AI、大数据在承保和理赔中的应用（卫星遥感定损等）</w:t>
            </w:r>
          </w:p>
        </w:tc>
      </w:tr>
      <w:tr>
        <w:tc>
          <w:tcPr>
            <w:tcW w:type="dxa" w:w="4589"/>
            <w:vAlign w:val="center"/>
          </w:tcPr>
          <w:p>
            <w:pPr>
              <w:spacing w:before="60" w:after="60"/>
              <w:jc w:val="center"/>
            </w:pPr>
            <w:r>
              <w:rPr>
                <w:rFonts w:ascii="仿宋_GB2312" w:hAnsi="仿宋_GB2312" w:eastAsia="仿宋_GB2312"/>
                <w:sz w:val="28"/>
              </w:rPr>
              <w:t>健康险深耕</w:t>
            </w:r>
          </w:p>
        </w:tc>
        <w:tc>
          <w:tcPr>
            <w:tcW w:type="dxa" w:w="4589"/>
            <w:vAlign w:val="center"/>
          </w:tcPr>
          <w:p>
            <w:pPr>
              <w:spacing w:before="60" w:after="60"/>
              <w:jc w:val="center"/>
            </w:pPr>
            <w:r>
              <w:rPr>
                <w:rFonts w:ascii="仿宋_GB2312" w:hAnsi="仿宋_GB2312" w:eastAsia="仿宋_GB2312"/>
                <w:sz w:val="28"/>
              </w:rPr>
              <w:t>利用全球健康险经验支持国内健康险</w:t>
            </w:r>
          </w:p>
        </w:tc>
      </w:tr>
      <w:tr>
        <w:tc>
          <w:tcPr>
            <w:tcW w:type="dxa" w:w="4589"/>
            <w:vAlign w:val="center"/>
            <w:shd w:fill="F5F5F5"/>
          </w:tcPr>
          <w:p>
            <w:pPr>
              <w:spacing w:before="60" w:after="60"/>
              <w:jc w:val="center"/>
            </w:pPr>
            <w:r>
              <w:rPr>
                <w:rFonts w:ascii="仿宋_GB2312" w:hAnsi="仿宋_GB2312" w:eastAsia="仿宋_GB2312"/>
                <w:sz w:val="28"/>
              </w:rPr>
              <w:t>ILS与巨灾债券</w:t>
            </w:r>
          </w:p>
        </w:tc>
        <w:tc>
          <w:tcPr>
            <w:tcW w:type="dxa" w:w="4589"/>
            <w:vAlign w:val="center"/>
            <w:shd w:fill="F5F5F5"/>
          </w:tcPr>
          <w:p>
            <w:pPr>
              <w:spacing w:before="60" w:after="60"/>
              <w:jc w:val="center"/>
            </w:pPr>
            <w:r>
              <w:rPr>
                <w:rFonts w:ascii="仿宋_GB2312" w:hAnsi="仿宋_GB2312" w:eastAsia="仿宋_GB2312"/>
                <w:sz w:val="28"/>
              </w:rPr>
              <w:t>发挥保险连接证券经验</w:t>
            </w:r>
          </w:p>
        </w:tc>
      </w:tr>
      <w:tr>
        <w:tc>
          <w:tcPr>
            <w:tcW w:type="dxa" w:w="4589"/>
            <w:vAlign w:val="center"/>
          </w:tcPr>
          <w:p>
            <w:pPr>
              <w:spacing w:before="60" w:after="60"/>
              <w:jc w:val="center"/>
            </w:pPr>
            <w:r>
              <w:rPr>
                <w:rFonts w:ascii="仿宋_GB2312" w:hAnsi="仿宋_GB2312" w:eastAsia="仿宋_GB2312"/>
                <w:sz w:val="28"/>
              </w:rPr>
              <w:t>中国市场投入</w:t>
            </w:r>
          </w:p>
        </w:tc>
        <w:tc>
          <w:tcPr>
            <w:tcW w:type="dxa" w:w="4589"/>
            <w:vAlign w:val="center"/>
          </w:tcPr>
          <w:p>
            <w:pPr>
              <w:spacing w:before="60" w:after="60"/>
              <w:jc w:val="center"/>
            </w:pPr>
            <w:r>
              <w:rPr>
                <w:rFonts w:ascii="仿宋_GB2312" w:hAnsi="仿宋_GB2312" w:eastAsia="仿宋_GB2312"/>
                <w:sz w:val="28"/>
              </w:rPr>
              <w:t>以上海再保险中心为扩大布局</w:t>
            </w:r>
          </w:p>
        </w:tc>
      </w:tr>
    </w:tbl>
    <w:p/>
    <w:p>
      <w:pPr>
        <w:spacing w:line="360" w:lineRule="auto" w:before="240" w:after="120"/>
        <w:ind w:firstLine="420"/>
        <w:jc w:val="left"/>
      </w:pPr>
      <w:r>
        <w:rPr>
          <w:rFonts w:ascii="仿宋_GB2312" w:hAnsi="仿宋_GB2312" w:eastAsia="仿宋_GB2312"/>
          <w:b/>
          <w:sz w:val="32"/>
        </w:rPr>
        <w:t>2.4.4 市场偏好</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维度</w:t>
            </w:r>
          </w:p>
        </w:tc>
        <w:tc>
          <w:tcPr>
            <w:tcW w:type="dxa" w:w="4589"/>
            <w:shd w:fill="000000"/>
            <w:vAlign w:val="center"/>
          </w:tcPr>
          <w:p>
            <w:pPr>
              <w:spacing w:before="60" w:after="60"/>
              <w:jc w:val="center"/>
            </w:pPr>
            <w:r>
              <w:rPr>
                <w:rFonts w:ascii="仿宋_GB2312" w:hAnsi="仿宋_GB2312" w:eastAsia="仿宋_GB2312"/>
                <w:b/>
                <w:color w:val="FFFFFF"/>
                <w:sz w:val="28"/>
              </w:rPr>
              <w:t>偏好</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核心险种</w:t>
            </w:r>
          </w:p>
        </w:tc>
        <w:tc>
          <w:tcPr>
            <w:tcW w:type="dxa" w:w="4589"/>
            <w:vAlign w:val="center"/>
          </w:tcPr>
          <w:p>
            <w:pPr>
              <w:spacing w:before="60" w:after="60"/>
              <w:jc w:val="center"/>
            </w:pPr>
            <w:r>
              <w:rPr>
                <w:rFonts w:ascii="仿宋_GB2312" w:hAnsi="仿宋_GB2312" w:eastAsia="仿宋_GB2312"/>
                <w:sz w:val="28"/>
              </w:rPr>
              <w:t>巨灾（地震、台风、洪水）、航空险、能源险、责任险、健康险</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技术优势</w:t>
            </w:r>
          </w:p>
        </w:tc>
        <w:tc>
          <w:tcPr>
            <w:tcW w:type="dxa" w:w="4589"/>
            <w:vAlign w:val="center"/>
            <w:shd w:fill="F5F5F5"/>
          </w:tcPr>
          <w:p>
            <w:pPr>
              <w:spacing w:before="60" w:after="60"/>
              <w:jc w:val="center"/>
            </w:pPr>
            <w:r>
              <w:rPr>
                <w:rFonts w:ascii="仿宋_GB2312" w:hAnsi="仿宋_GB2312" w:eastAsia="仿宋_GB2312"/>
                <w:sz w:val="28"/>
              </w:rPr>
              <w:t>巨灾模型、风险咨询、精算服务</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合作模式</w:t>
            </w:r>
          </w:p>
        </w:tc>
        <w:tc>
          <w:tcPr>
            <w:tcW w:type="dxa" w:w="4589"/>
            <w:vAlign w:val="center"/>
          </w:tcPr>
          <w:p>
            <w:pPr>
              <w:spacing w:before="60" w:after="60"/>
              <w:jc w:val="center"/>
            </w:pPr>
            <w:r>
              <w:rPr>
                <w:rFonts w:ascii="仿宋_GB2312" w:hAnsi="仿宋_GB2312" w:eastAsia="仿宋_GB2312"/>
                <w:sz w:val="28"/>
              </w:rPr>
              <w:t>非比例再保险为主，提供定制化方案</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增长方向</w:t>
            </w:r>
          </w:p>
        </w:tc>
        <w:tc>
          <w:tcPr>
            <w:tcW w:type="dxa" w:w="4589"/>
            <w:vAlign w:val="center"/>
            <w:shd w:fill="F5F5F5"/>
          </w:tcPr>
          <w:p>
            <w:pPr>
              <w:spacing w:before="60" w:after="60"/>
              <w:jc w:val="center"/>
            </w:pPr>
            <w:r>
              <w:rPr>
                <w:rFonts w:ascii="仿宋_GB2312" w:hAnsi="仿宋_GB2312" w:eastAsia="仿宋_GB2312"/>
                <w:sz w:val="28"/>
              </w:rPr>
              <w:t>绿色保险、科技保险、网络安全保险</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w:t>
      </w:r>
      <w:r>
        <w:rPr>
          <w:rFonts w:ascii="仿宋_GB2312" w:hAnsi="仿宋_GB2312" w:eastAsia="仿宋_GB2312"/>
          <w:sz w:val="32"/>
        </w:rPr>
        <w:t xml:space="preserve"> 基于慕再集团公开信息及行业研究报告综合研判【附件7】</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2.5 瑞士再保险（中国）</w:t>
      </w:r>
    </w:p>
    <w:p>
      <w:pPr>
        <w:spacing w:line="360" w:lineRule="auto" w:before="240" w:after="120"/>
        <w:ind w:firstLine="420"/>
        <w:jc w:val="left"/>
      </w:pPr>
      <w:r>
        <w:rPr>
          <w:rFonts w:ascii="仿宋_GB2312" w:hAnsi="仿宋_GB2312" w:eastAsia="仿宋_GB2312"/>
          <w:b/>
          <w:sz w:val="32"/>
        </w:rPr>
        <w:t>2.5.1 企业概况</w:t>
      </w:r>
    </w:p>
    <w:p>
      <w:pPr>
        <w:spacing w:line="360" w:lineRule="auto"/>
        <w:ind w:firstLine="420"/>
        <w:jc w:val="both"/>
      </w:pPr>
      <w:r>
        <w:rPr>
          <w:rFonts w:ascii="仿宋_GB2312" w:hAnsi="仿宋_GB2312" w:eastAsia="仿宋_GB2312"/>
          <w:sz w:val="32"/>
        </w:rPr>
        <w:t>瑞士再保险（Swiss Re）是全球第二大再保险公司（集团保费约500亿美元），北京分公司负责中国业务。【附件8】</w:t>
      </w:r>
    </w:p>
    <w:p>
      <w:pPr>
        <w:spacing w:line="360" w:lineRule="auto" w:before="240" w:after="120"/>
        <w:ind w:firstLine="420"/>
        <w:jc w:val="left"/>
      </w:pPr>
      <w:r>
        <w:rPr>
          <w:rFonts w:ascii="仿宋_GB2312" w:hAnsi="仿宋_GB2312" w:eastAsia="仿宋_GB2312"/>
          <w:b/>
          <w:sz w:val="32"/>
        </w:rPr>
        <w:t>2.5.2 核心竞争优势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sigma研究</w:t>
      </w:r>
      <w:r>
        <w:rPr>
          <w:rFonts w:ascii="仿宋_GB2312" w:hAnsi="仿宋_GB2312" w:eastAsia="仿宋_GB2312"/>
          <w:sz w:val="32"/>
        </w:rPr>
        <w:t>——全球最具影响力的保险业年度研究报告</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巨灾风险建模</w:t>
      </w:r>
      <w:r>
        <w:rPr>
          <w:rFonts w:ascii="仿宋_GB2312" w:hAnsi="仿宋_GB2312" w:eastAsia="仿宋_GB2312"/>
          <w:sz w:val="32"/>
        </w:rPr>
        <w:t>——世界领先的巨灾模型和分析工具</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长寿风险管理</w:t>
      </w:r>
      <w:r>
        <w:rPr>
          <w:rFonts w:ascii="仿宋_GB2312" w:hAnsi="仿宋_GB2312" w:eastAsia="仿宋_GB2312"/>
          <w:sz w:val="32"/>
        </w:rPr>
        <w:t>——养老金和长寿风险转移全球领先经验</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创新产品开发</w:t>
      </w:r>
      <w:r>
        <w:rPr>
          <w:rFonts w:ascii="仿宋_GB2312" w:hAnsi="仿宋_GB2312" w:eastAsia="仿宋_GB2312"/>
          <w:sz w:val="32"/>
        </w:rPr>
        <w:t>——参数化、指数型保险走在行业前列</w:t>
      </w:r>
    </w:p>
    <w:p>
      <w:pPr>
        <w:spacing w:line="360" w:lineRule="auto" w:before="240" w:after="120"/>
        <w:ind w:firstLine="420"/>
        <w:jc w:val="left"/>
      </w:pPr>
      <w:r>
        <w:rPr>
          <w:rFonts w:ascii="仿宋_GB2312" w:hAnsi="仿宋_GB2312" w:eastAsia="仿宋_GB2312"/>
          <w:b/>
          <w:sz w:val="32"/>
        </w:rPr>
        <w:t>2.5.3 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战略方向</w:t>
            </w:r>
          </w:p>
        </w:tc>
        <w:tc>
          <w:tcPr>
            <w:tcW w:type="dxa" w:w="4589"/>
            <w:shd w:fill="000000"/>
            <w:vAlign w:val="center"/>
          </w:tcPr>
          <w:p>
            <w:pPr>
              <w:spacing w:before="60" w:after="60"/>
              <w:jc w:val="center"/>
            </w:pPr>
            <w:r>
              <w:rPr>
                <w:rFonts w:ascii="仿宋_GB2312" w:hAnsi="仿宋_GB2312" w:eastAsia="仿宋_GB2312"/>
                <w:b/>
                <w:color w:val="FFFFFF"/>
                <w:sz w:val="28"/>
              </w:rPr>
              <w:t>具体措施</w:t>
            </w:r>
          </w:p>
        </w:tc>
      </w:tr>
      <w:tr>
        <w:tc>
          <w:tcPr>
            <w:tcW w:type="dxa" w:w="4589"/>
            <w:vAlign w:val="center"/>
          </w:tcPr>
          <w:p>
            <w:pPr>
              <w:spacing w:before="60" w:after="60"/>
              <w:jc w:val="center"/>
            </w:pPr>
            <w:r>
              <w:rPr>
                <w:rFonts w:ascii="仿宋_GB2312" w:hAnsi="仿宋_GB2312" w:eastAsia="仿宋_GB2312"/>
                <w:sz w:val="28"/>
              </w:rPr>
              <w:t>数据驱动</w:t>
            </w:r>
          </w:p>
        </w:tc>
        <w:tc>
          <w:tcPr>
            <w:tcW w:type="dxa" w:w="4589"/>
            <w:vAlign w:val="center"/>
          </w:tcPr>
          <w:p>
            <w:pPr>
              <w:spacing w:before="60" w:after="60"/>
              <w:jc w:val="center"/>
            </w:pPr>
            <w:r>
              <w:rPr>
                <w:rFonts w:ascii="仿宋_GB2312" w:hAnsi="仿宋_GB2312" w:eastAsia="仿宋_GB2312"/>
                <w:sz w:val="28"/>
              </w:rPr>
              <w:t>发挥sigma研究品牌优势，强化风险咨询</w:t>
            </w:r>
          </w:p>
        </w:tc>
      </w:tr>
      <w:tr>
        <w:tc>
          <w:tcPr>
            <w:tcW w:type="dxa" w:w="4589"/>
            <w:vAlign w:val="center"/>
            <w:shd w:fill="F5F5F5"/>
          </w:tcPr>
          <w:p>
            <w:pPr>
              <w:spacing w:before="60" w:after="60"/>
              <w:jc w:val="center"/>
            </w:pPr>
            <w:r>
              <w:rPr>
                <w:rFonts w:ascii="仿宋_GB2312" w:hAnsi="仿宋_GB2312" w:eastAsia="仿宋_GB2312"/>
                <w:sz w:val="28"/>
              </w:rPr>
              <w:t>农业再保险深耕</w:t>
            </w:r>
          </w:p>
        </w:tc>
        <w:tc>
          <w:tcPr>
            <w:tcW w:type="dxa" w:w="4589"/>
            <w:vAlign w:val="center"/>
            <w:shd w:fill="F5F5F5"/>
          </w:tcPr>
          <w:p>
            <w:pPr>
              <w:spacing w:before="60" w:after="60"/>
              <w:jc w:val="center"/>
            </w:pPr>
            <w:r>
              <w:rPr>
                <w:rFonts w:ascii="仿宋_GB2312" w:hAnsi="仿宋_GB2312" w:eastAsia="仿宋_GB2312"/>
                <w:sz w:val="28"/>
              </w:rPr>
              <w:t>参与中国政策性农险再保险</w:t>
            </w:r>
          </w:p>
        </w:tc>
      </w:tr>
      <w:tr>
        <w:tc>
          <w:tcPr>
            <w:tcW w:type="dxa" w:w="4589"/>
            <w:vAlign w:val="center"/>
          </w:tcPr>
          <w:p>
            <w:pPr>
              <w:spacing w:before="60" w:after="60"/>
              <w:jc w:val="center"/>
            </w:pPr>
            <w:r>
              <w:rPr>
                <w:rFonts w:ascii="仿宋_GB2312" w:hAnsi="仿宋_GB2312" w:eastAsia="仿宋_GB2312"/>
                <w:sz w:val="28"/>
              </w:rPr>
              <w:t>巨灾风险方案</w:t>
            </w:r>
          </w:p>
        </w:tc>
        <w:tc>
          <w:tcPr>
            <w:tcW w:type="dxa" w:w="4589"/>
            <w:vAlign w:val="center"/>
          </w:tcPr>
          <w:p>
            <w:pPr>
              <w:spacing w:before="60" w:after="60"/>
              <w:jc w:val="center"/>
            </w:pPr>
            <w:r>
              <w:rPr>
                <w:rFonts w:ascii="仿宋_GB2312" w:hAnsi="仿宋_GB2312" w:eastAsia="仿宋_GB2312"/>
                <w:sz w:val="28"/>
              </w:rPr>
              <w:t>开发适合中国的巨模型，推动参数化保险</w:t>
            </w:r>
          </w:p>
        </w:tc>
      </w:tr>
      <w:tr>
        <w:tc>
          <w:tcPr>
            <w:tcW w:type="dxa" w:w="4589"/>
            <w:vAlign w:val="center"/>
            <w:shd w:fill="F5F5F5"/>
          </w:tcPr>
          <w:p>
            <w:pPr>
              <w:spacing w:before="60" w:after="60"/>
              <w:jc w:val="center"/>
            </w:pPr>
            <w:r>
              <w:rPr>
                <w:rFonts w:ascii="仿宋_GB2312" w:hAnsi="仿宋_GB2312" w:eastAsia="仿宋_GB2312"/>
                <w:sz w:val="28"/>
              </w:rPr>
              <w:t>寿险创新</w:t>
            </w:r>
          </w:p>
        </w:tc>
        <w:tc>
          <w:tcPr>
            <w:tcW w:type="dxa" w:w="4589"/>
            <w:vAlign w:val="center"/>
            <w:shd w:fill="F5F5F5"/>
          </w:tcPr>
          <w:p>
            <w:pPr>
              <w:spacing w:before="60" w:after="60"/>
              <w:jc w:val="center"/>
            </w:pPr>
            <w:r>
              <w:rPr>
                <w:rFonts w:ascii="仿宋_GB2312" w:hAnsi="仿宋_GB2312" w:eastAsia="仿宋_GB2312"/>
                <w:sz w:val="28"/>
              </w:rPr>
              <w:t>聚焦长寿风险、死差风险转移</w:t>
            </w:r>
          </w:p>
        </w:tc>
      </w:tr>
      <w:tr>
        <w:tc>
          <w:tcPr>
            <w:tcW w:type="dxa" w:w="4589"/>
            <w:vAlign w:val="center"/>
          </w:tcPr>
          <w:p>
            <w:pPr>
              <w:spacing w:before="60" w:after="60"/>
              <w:jc w:val="center"/>
            </w:pPr>
            <w:r>
              <w:rPr>
                <w:rFonts w:ascii="仿宋_GB2312" w:hAnsi="仿宋_GB2312" w:eastAsia="仿宋_GB2312"/>
                <w:sz w:val="28"/>
              </w:rPr>
              <w:t>数字化转型</w:t>
            </w:r>
          </w:p>
        </w:tc>
        <w:tc>
          <w:tcPr>
            <w:tcW w:type="dxa" w:w="4589"/>
            <w:vAlign w:val="center"/>
          </w:tcPr>
          <w:p>
            <w:pPr>
              <w:spacing w:before="60" w:after="60"/>
              <w:jc w:val="center"/>
            </w:pPr>
            <w:r>
              <w:rPr>
                <w:rFonts w:ascii="仿宋_GB2312" w:hAnsi="仿宋_GB2312" w:eastAsia="仿宋_GB2312"/>
                <w:sz w:val="28"/>
              </w:rPr>
              <w:t>推动再保险交易数字化（iClarify平台）</w:t>
            </w:r>
          </w:p>
        </w:tc>
      </w:tr>
      <w:tr>
        <w:tc>
          <w:tcPr>
            <w:tcW w:type="dxa" w:w="4589"/>
            <w:vAlign w:val="center"/>
            <w:shd w:fill="F5F5F5"/>
          </w:tcPr>
          <w:p>
            <w:pPr>
              <w:spacing w:before="60" w:after="60"/>
              <w:jc w:val="center"/>
            </w:pPr>
            <w:r>
              <w:rPr>
                <w:rFonts w:ascii="仿宋_GB2312" w:hAnsi="仿宋_GB2312" w:eastAsia="仿宋_GB2312"/>
                <w:sz w:val="28"/>
              </w:rPr>
              <w:t>ESG与可持续</w:t>
            </w:r>
          </w:p>
        </w:tc>
        <w:tc>
          <w:tcPr>
            <w:tcW w:type="dxa" w:w="4589"/>
            <w:vAlign w:val="center"/>
            <w:shd w:fill="F5F5F5"/>
          </w:tcPr>
          <w:p>
            <w:pPr>
              <w:spacing w:before="60" w:after="60"/>
              <w:jc w:val="center"/>
            </w:pPr>
            <w:r>
              <w:rPr>
                <w:rFonts w:ascii="仿宋_GB2312" w:hAnsi="仿宋_GB2312" w:eastAsia="仿宋_GB2312"/>
                <w:sz w:val="28"/>
              </w:rPr>
              <w:t>绿色保险和气候变化解决方案</w:t>
            </w:r>
          </w:p>
        </w:tc>
      </w:tr>
    </w:tbl>
    <w:p/>
    <w:p>
      <w:pPr>
        <w:spacing w:line="360" w:lineRule="auto" w:before="240" w:after="120"/>
        <w:ind w:firstLine="420"/>
        <w:jc w:val="left"/>
      </w:pPr>
      <w:r>
        <w:rPr>
          <w:rFonts w:ascii="仿宋_GB2312" w:hAnsi="仿宋_GB2312" w:eastAsia="仿宋_GB2312"/>
          <w:b/>
          <w:sz w:val="32"/>
        </w:rPr>
        <w:t>2.5.4 市场偏好</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维度</w:t>
            </w:r>
          </w:p>
        </w:tc>
        <w:tc>
          <w:tcPr>
            <w:tcW w:type="dxa" w:w="4589"/>
            <w:shd w:fill="000000"/>
            <w:vAlign w:val="center"/>
          </w:tcPr>
          <w:p>
            <w:pPr>
              <w:spacing w:before="60" w:after="60"/>
              <w:jc w:val="center"/>
            </w:pPr>
            <w:r>
              <w:rPr>
                <w:rFonts w:ascii="仿宋_GB2312" w:hAnsi="仿宋_GB2312" w:eastAsia="仿宋_GB2312"/>
                <w:b/>
                <w:color w:val="FFFFFF"/>
                <w:sz w:val="28"/>
              </w:rPr>
              <w:t>偏好</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核心险种</w:t>
            </w:r>
          </w:p>
        </w:tc>
        <w:tc>
          <w:tcPr>
            <w:tcW w:type="dxa" w:w="4589"/>
            <w:vAlign w:val="center"/>
          </w:tcPr>
          <w:p>
            <w:pPr>
              <w:spacing w:before="60" w:after="60"/>
              <w:jc w:val="center"/>
            </w:pPr>
            <w:r>
              <w:rPr>
                <w:rFonts w:ascii="仿宋_GB2312" w:hAnsi="仿宋_GB2312" w:eastAsia="仿宋_GB2312"/>
                <w:sz w:val="28"/>
              </w:rPr>
              <w:t>巨灾、农业再保险、寿险再保险（长寿风险）、健康险</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技术优势</w:t>
            </w:r>
          </w:p>
        </w:tc>
        <w:tc>
          <w:tcPr>
            <w:tcW w:type="dxa" w:w="4589"/>
            <w:vAlign w:val="center"/>
            <w:shd w:fill="F5F5F5"/>
          </w:tcPr>
          <w:p>
            <w:pPr>
              <w:spacing w:before="60" w:after="60"/>
              <w:jc w:val="center"/>
            </w:pPr>
            <w:r>
              <w:rPr>
                <w:rFonts w:ascii="仿宋_GB2312" w:hAnsi="仿宋_GB2312" w:eastAsia="仿宋_GB2312"/>
                <w:sz w:val="28"/>
              </w:rPr>
              <w:t>sigma研究、巨灾建模、精算定价</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合作模式</w:t>
            </w:r>
          </w:p>
        </w:tc>
        <w:tc>
          <w:tcPr>
            <w:tcW w:type="dxa" w:w="4589"/>
            <w:vAlign w:val="center"/>
          </w:tcPr>
          <w:p>
            <w:pPr>
              <w:spacing w:before="60" w:after="60"/>
              <w:jc w:val="center"/>
            </w:pPr>
            <w:r>
              <w:rPr>
                <w:rFonts w:ascii="仿宋_GB2312" w:hAnsi="仿宋_GB2312" w:eastAsia="仿宋_GB2312"/>
                <w:sz w:val="28"/>
              </w:rPr>
              <w:t>合约再保险 + 临时再保险 + 风险咨询</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增长方向</w:t>
            </w:r>
          </w:p>
        </w:tc>
        <w:tc>
          <w:tcPr>
            <w:tcW w:type="dxa" w:w="4589"/>
            <w:vAlign w:val="center"/>
            <w:shd w:fill="F5F5F5"/>
          </w:tcPr>
          <w:p>
            <w:pPr>
              <w:spacing w:before="60" w:after="60"/>
              <w:jc w:val="center"/>
            </w:pPr>
            <w:r>
              <w:rPr>
                <w:rFonts w:ascii="仿宋_GB2312" w:hAnsi="仿宋_GB2312" w:eastAsia="仿宋_GB2312"/>
                <w:sz w:val="28"/>
              </w:rPr>
              <w:t>参数化保险、ESG/绿色保险</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sz w:val="32"/>
        </w:rPr>
        <w:t>出处：** 基于瑞再集团公开信息及行业研究报告综合研判【附件8】</w:t>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sz w:val="32"/>
        </w:rPr>
        <w:t>2.6 汉诺威再保险（中国）</w:t>
      </w:r>
    </w:p>
    <w:p>
      <w:pPr>
        <w:spacing w:line="360" w:lineRule="auto" w:before="240" w:after="120"/>
        <w:ind w:firstLine="420"/>
        <w:jc w:val="left"/>
      </w:pPr>
      <w:r>
        <w:rPr>
          <w:rFonts w:ascii="仿宋_GB2312" w:hAnsi="仿宋_GB2312" w:eastAsia="仿宋_GB2312"/>
          <w:b/>
          <w:sz w:val="32"/>
        </w:rPr>
        <w:t>2..1 企业概况</w:t>
      </w:r>
    </w:p>
    <w:p>
      <w:pPr>
        <w:spacing w:line="360" w:lineRule="auto"/>
        <w:ind w:firstLine="420"/>
        <w:jc w:val="both"/>
      </w:pPr>
      <w:r>
        <w:rPr>
          <w:rFonts w:ascii="仿宋_GB2312" w:hAnsi="仿宋_GB2312" w:eastAsia="仿宋_GB2312"/>
          <w:sz w:val="32"/>
        </w:rPr>
        <w:t>汉诺威再保险（Hannover Re）是全球第三大再保险公司，在寿险再保险领域全球领先（集团保费约330亿欧元）。上海分公司负责中国业务。【附件9】</w:t>
      </w:r>
    </w:p>
    <w:p>
      <w:pPr>
        <w:spacing w:line="360" w:lineRule="auto" w:before="240" w:after="120"/>
        <w:ind w:firstLine="420"/>
        <w:jc w:val="left"/>
      </w:pPr>
      <w:r>
        <w:rPr>
          <w:rFonts w:ascii="仿宋_GB2312" w:hAnsi="仿宋_GB2312" w:eastAsia="仿宋_GB2312"/>
          <w:b/>
          <w:sz w:val="32"/>
        </w:rPr>
        <w:t>2.6.2 核心竞争优势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寿险再保险全球第一</w:t>
      </w:r>
      <w:r>
        <w:rPr>
          <w:rFonts w:ascii="仿宋_GB2312" w:hAnsi="仿宋_GB2312" w:eastAsia="仿宋_GB2312"/>
          <w:sz w:val="32"/>
        </w:rPr>
        <w:t>——在该领域全球市占率最高</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eBUTION数字化核保</w:t>
      </w:r>
      <w:r>
        <w:rPr>
          <w:rFonts w:ascii="仿宋_GB2312" w:hAnsi="仿宋_GB2312" w:eastAsia="仿宋_GB2312"/>
          <w:sz w:val="32"/>
        </w:rPr>
        <w:t>——全球领先的数字化自动核平台</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IFRS17专业知识</w:t>
      </w:r>
      <w:r>
        <w:rPr>
          <w:rFonts w:ascii="仿宋_GB2312" w:hAnsi="仿宋_GB2312" w:eastAsia="仿宋_GB2312"/>
          <w:sz w:val="32"/>
        </w:rPr>
        <w:t>——帮助客户优化再保险安排</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高效运营</w:t>
      </w:r>
      <w:r>
        <w:rPr>
          <w:rFonts w:ascii="仿宋_GB2312" w:hAnsi="仿宋_GB2312" w:eastAsia="仿宋_GB2312"/>
          <w:sz w:val="32"/>
        </w:rPr>
        <w:t>——以经营效率和盈利能力著称</w:t>
      </w:r>
    </w:p>
    <w:p>
      <w:pPr>
        <w:spacing w:line="360" w:lineRule="auto" w:before="240" w:after="120"/>
        <w:ind w:firstLine="420"/>
        <w:jc w:val="left"/>
      </w:pPr>
      <w:r>
        <w:rPr>
          <w:rFonts w:ascii="仿宋_GB2312" w:hAnsi="仿宋_GB2312" w:eastAsia="仿宋_GB2312"/>
          <w:b/>
          <w:sz w:val="32"/>
        </w:rPr>
        <w:t>2.6.3 战略方向</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战略方向</w:t>
            </w:r>
          </w:p>
        </w:tc>
        <w:tc>
          <w:tcPr>
            <w:tcW w:type="dxa" w:w="4589"/>
            <w:shd w:fill="000000"/>
            <w:vAlign w:val="center"/>
          </w:tcPr>
          <w:p>
            <w:pPr>
              <w:spacing w:before="60" w:after="60"/>
              <w:jc w:val="center"/>
            </w:pPr>
            <w:r>
              <w:rPr>
                <w:rFonts w:ascii="仿宋_GB2312" w:hAnsi="仿宋_GB2312" w:eastAsia="仿宋_GB2312"/>
                <w:b/>
                <w:color w:val="FFFFFF"/>
                <w:sz w:val="28"/>
              </w:rPr>
              <w:t>具体措施</w:t>
            </w:r>
          </w:p>
        </w:tc>
      </w:tr>
      <w:tr>
        <w:tc>
          <w:tcPr>
            <w:tcW w:type="dxa" w:w="4589"/>
            <w:vAlign w:val="center"/>
          </w:tcPr>
          <w:p>
            <w:pPr>
              <w:spacing w:before="60" w:after="60"/>
              <w:jc w:val="center"/>
            </w:pPr>
            <w:r>
              <w:rPr>
                <w:rFonts w:ascii="仿宋_GB2312" w:hAnsi="仿宋_GB2312" w:eastAsia="仿宋_GB2312"/>
                <w:sz w:val="28"/>
              </w:rPr>
              <w:t>寿险再保险深耕</w:t>
            </w:r>
          </w:p>
        </w:tc>
        <w:tc>
          <w:tcPr>
            <w:tcW w:type="dxa" w:w="4589"/>
            <w:vAlign w:val="center"/>
          </w:tcPr>
          <w:p>
            <w:pPr>
              <w:spacing w:before="60" w:after="60"/>
              <w:jc w:val="center"/>
            </w:pPr>
            <w:r>
              <w:rPr>
                <w:rFonts w:ascii="仿宋_GB2312" w:hAnsi="仿宋_GB2312" w:eastAsia="仿宋_GB2312"/>
                <w:sz w:val="28"/>
              </w:rPr>
              <w:t>巩固保障型寿险再保险，聚焦重疾险和医疗险</w:t>
            </w:r>
          </w:p>
        </w:tc>
      </w:tr>
      <w:tr>
        <w:tc>
          <w:tcPr>
            <w:tcW w:type="dxa" w:w="4589"/>
            <w:vAlign w:val="center"/>
            <w:shd w:fill="F5F5F5"/>
          </w:tcPr>
          <w:p>
            <w:pPr>
              <w:spacing w:before="60" w:after="60"/>
              <w:jc w:val="center"/>
            </w:pPr>
            <w:r>
              <w:rPr>
                <w:rFonts w:ascii="仿宋_GB2312" w:hAnsi="仿宋_GB2312" w:eastAsia="仿宋_GB2312"/>
                <w:sz w:val="28"/>
              </w:rPr>
              <w:t>eBUTION本土化</w:t>
            </w:r>
          </w:p>
        </w:tc>
        <w:tc>
          <w:tcPr>
            <w:tcW w:type="dxa" w:w="4589"/>
            <w:vAlign w:val="center"/>
            <w:shd w:fill="F5F5F5"/>
          </w:tcPr>
          <w:p>
            <w:pPr>
              <w:spacing w:before="60" w:after="60"/>
              <w:jc w:val="center"/>
            </w:pPr>
            <w:r>
              <w:rPr>
                <w:rFonts w:ascii="仿宋_GB2312" w:hAnsi="仿宋_GB2312" w:eastAsia="仿宋_GB2312"/>
                <w:sz w:val="28"/>
              </w:rPr>
              <w:t>推动数字化核保系统在中国的深度应用</w:t>
            </w:r>
          </w:p>
        </w:tc>
      </w:tr>
      <w:tr>
        <w:tc>
          <w:tcPr>
            <w:tcW w:type="dxa" w:w="4589"/>
            <w:vAlign w:val="center"/>
          </w:tcPr>
          <w:p>
            <w:pPr>
              <w:spacing w:before="60" w:after="60"/>
              <w:jc w:val="center"/>
            </w:pPr>
            <w:r>
              <w:rPr>
                <w:rFonts w:ascii="仿宋_GB2312" w:hAnsi="仿宋_GB2312" w:eastAsia="仿宋_GB2312"/>
                <w:sz w:val="28"/>
              </w:rPr>
              <w:t>IFRS17机遇</w:t>
            </w:r>
          </w:p>
        </w:tc>
        <w:tc>
          <w:tcPr>
            <w:tcW w:type="dxa" w:w="4589"/>
            <w:vAlign w:val="center"/>
          </w:tcPr>
          <w:p>
            <w:pPr>
              <w:spacing w:before="60" w:after="60"/>
              <w:jc w:val="center"/>
            </w:pPr>
            <w:r>
              <w:rPr>
                <w:rFonts w:ascii="仿宋_GB2312" w:hAnsi="仿宋_GB2312" w:eastAsia="仿宋_GB2312"/>
                <w:sz w:val="28"/>
              </w:rPr>
              <w:t>协助客户应对新会计准则</w:t>
            </w:r>
          </w:p>
        </w:tc>
      </w:tr>
      <w:tr>
        <w:tc>
          <w:tcPr>
            <w:tcW w:type="dxa" w:w="4589"/>
            <w:vAlign w:val="center"/>
            <w:shd w:fill="F5F5F5"/>
          </w:tcPr>
          <w:p>
            <w:pPr>
              <w:spacing w:before="60" w:after="60"/>
              <w:jc w:val="center"/>
            </w:pPr>
            <w:r>
              <w:rPr>
                <w:rFonts w:ascii="仿宋_GB2312" w:hAnsi="仿宋_GB2312" w:eastAsia="仿宋_GB2312"/>
                <w:sz w:val="28"/>
              </w:rPr>
              <w:t>健康险创新</w:t>
            </w:r>
          </w:p>
        </w:tc>
        <w:tc>
          <w:tcPr>
            <w:tcW w:type="dxa" w:w="4589"/>
            <w:vAlign w:val="center"/>
            <w:shd w:fill="F5F5F5"/>
          </w:tcPr>
          <w:p>
            <w:pPr>
              <w:spacing w:before="60" w:after="60"/>
              <w:jc w:val="center"/>
            </w:pPr>
            <w:r>
              <w:rPr>
                <w:rFonts w:ascii="仿宋_GB2312" w:hAnsi="仿宋_GB2312" w:eastAsia="仿宋_GB2312"/>
                <w:sz w:val="28"/>
              </w:rPr>
              <w:t>高端医疗险、健康管理服务再保险</w:t>
            </w:r>
          </w:p>
        </w:tc>
      </w:tr>
      <w:tr>
        <w:tc>
          <w:tcPr>
            <w:tcW w:type="dxa" w:w="4589"/>
            <w:vAlign w:val="center"/>
          </w:tcPr>
          <w:p>
            <w:pPr>
              <w:spacing w:before="60" w:after="60"/>
              <w:jc w:val="center"/>
            </w:pPr>
            <w:r>
              <w:rPr>
                <w:rFonts w:ascii="仿宋_GB2312" w:hAnsi="仿宋_GB2312" w:eastAsia="仿宋_GB2312"/>
                <w:sz w:val="28"/>
              </w:rPr>
              <w:t>长寿风险管理</w:t>
            </w:r>
          </w:p>
        </w:tc>
        <w:tc>
          <w:tcPr>
            <w:tcW w:type="dxa" w:w="4589"/>
            <w:vAlign w:val="center"/>
          </w:tcPr>
          <w:p>
            <w:pPr>
              <w:spacing w:before="60" w:after="60"/>
              <w:jc w:val="center"/>
            </w:pPr>
            <w:r>
              <w:rPr>
                <w:rFonts w:ascii="仿宋_GB2312" w:hAnsi="仿宋_GB2312" w:eastAsia="仿宋_GB2312"/>
                <w:sz w:val="28"/>
              </w:rPr>
              <w:t>应对老龄化下的长寿风险转移需求</w:t>
            </w:r>
          </w:p>
        </w:tc>
      </w:tr>
      <w:tr>
        <w:tc>
          <w:tcPr>
            <w:tcW w:type="dxa" w:w="4589"/>
            <w:vAlign w:val="center"/>
            <w:shd w:fill="F5F5F5"/>
          </w:tcPr>
          <w:p>
            <w:pPr>
              <w:spacing w:before="60" w:after="60"/>
              <w:jc w:val="center"/>
            </w:pPr>
            <w:r>
              <w:rPr>
                <w:rFonts w:ascii="仿宋_GB2312" w:hAnsi="仿宋_GB2312" w:eastAsia="仿宋_GB2312"/>
                <w:sz w:val="28"/>
              </w:rPr>
              <w:t>绿色保险</w:t>
            </w:r>
          </w:p>
        </w:tc>
        <w:tc>
          <w:tcPr>
            <w:tcW w:type="dxa" w:w="4589"/>
            <w:vAlign w:val="center"/>
            <w:shd w:fill="F5F5F5"/>
          </w:tcPr>
          <w:p>
            <w:pPr>
              <w:spacing w:before="60" w:after="60"/>
              <w:jc w:val="center"/>
            </w:pPr>
            <w:r>
              <w:rPr>
                <w:rFonts w:ascii="仿宋_GB2312" w:hAnsi="仿宋_GB2312" w:eastAsia="仿宋_GB2312"/>
                <w:sz w:val="28"/>
              </w:rPr>
              <w:t>探索ESG再保险解决方案</w:t>
            </w:r>
          </w:p>
        </w:tc>
      </w:tr>
    </w:tbl>
    <w:p/>
    <w:p>
      <w:pPr>
        <w:spacing w:line="360" w:lineRule="auto" w:before="240" w:after="120"/>
        <w:ind w:firstLine="420"/>
        <w:jc w:val="left"/>
      </w:pPr>
      <w:r>
        <w:rPr>
          <w:rFonts w:ascii="仿宋_GB2312" w:hAnsi="仿宋_GB2312" w:eastAsia="仿宋_GB2312"/>
          <w:b/>
          <w:sz w:val="32"/>
        </w:rPr>
        <w:t>2.6.4 市场偏好</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维度</w:t>
            </w:r>
          </w:p>
        </w:tc>
        <w:tc>
          <w:tcPr>
            <w:tcW w:type="dxa" w:w="4589"/>
            <w:shd w:fill="000000"/>
            <w:vAlign w:val="center"/>
          </w:tcPr>
          <w:p>
            <w:pPr>
              <w:spacing w:before="60" w:after="60"/>
              <w:jc w:val="center"/>
            </w:pPr>
            <w:r>
              <w:rPr>
                <w:rFonts w:ascii="仿宋_GB2312" w:hAnsi="仿宋_GB2312" w:eastAsia="仿宋_GB2312"/>
                <w:b/>
                <w:color w:val="FFFFFF"/>
                <w:sz w:val="28"/>
              </w:rPr>
              <w:t>偏好</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核心险种</w:t>
            </w:r>
          </w:p>
        </w:tc>
        <w:tc>
          <w:tcPr>
            <w:tcW w:type="dxa" w:w="4589"/>
            <w:vAlign w:val="center"/>
          </w:tcPr>
          <w:p>
            <w:pPr>
              <w:spacing w:before="60" w:after="60"/>
              <w:jc w:val="center"/>
            </w:pPr>
            <w:r>
              <w:rPr>
                <w:rFonts w:ascii="仿宋_GB2312" w:hAnsi="仿宋_GB2312" w:eastAsia="仿宋_GB2312"/>
                <w:sz w:val="28"/>
              </w:rPr>
              <w:t>寿险再保险（重疾、定寿）、健康险、意外险</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技术优势</w:t>
            </w:r>
          </w:p>
        </w:tc>
        <w:tc>
          <w:tcPr>
            <w:tcW w:type="dxa" w:w="4589"/>
            <w:vAlign w:val="center"/>
            <w:shd w:fill="F5F5F5"/>
          </w:tcPr>
          <w:p>
            <w:pPr>
              <w:spacing w:before="60" w:after="60"/>
              <w:jc w:val="center"/>
            </w:pPr>
            <w:r>
              <w:rPr>
                <w:rFonts w:ascii="仿宋_GB2312" w:hAnsi="仿宋_GB2312" w:eastAsia="仿宋_GB2312"/>
                <w:sz w:val="28"/>
              </w:rPr>
              <w:t>数字化核保、精算定价</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合作模式</w:t>
            </w:r>
          </w:p>
        </w:tc>
        <w:tc>
          <w:tcPr>
            <w:tcW w:type="dxa" w:w="4589"/>
            <w:vAlign w:val="center"/>
          </w:tcPr>
          <w:p>
            <w:pPr>
              <w:spacing w:before="60" w:after="60"/>
              <w:jc w:val="center"/>
            </w:pPr>
            <w:r>
              <w:rPr>
                <w:rFonts w:ascii="仿宋_GB2312" w:hAnsi="仿宋_GB2312" w:eastAsia="仿宋_GB2312"/>
                <w:sz w:val="28"/>
              </w:rPr>
              <w:t>比例再保险为主，技术输出带动业务</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增长方向</w:t>
            </w:r>
          </w:p>
        </w:tc>
        <w:tc>
          <w:tcPr>
            <w:tcW w:type="dxa" w:w="4589"/>
            <w:vAlign w:val="center"/>
            <w:shd w:fill="F5F5F5"/>
          </w:tcPr>
          <w:p>
            <w:pPr>
              <w:spacing w:before="60" w:after="60"/>
              <w:jc w:val="center"/>
            </w:pPr>
            <w:r>
              <w:rPr>
                <w:rFonts w:ascii="仿宋_GB2312" w:hAnsi="仿宋_GB2312" w:eastAsia="仿宋_GB2312"/>
                <w:sz w:val="28"/>
              </w:rPr>
              <w:t>养老风险转移、医疗险再保险</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出处：</w:t>
      </w:r>
      <w:r>
        <w:rPr>
          <w:rFonts w:ascii="仿宋_GB2312" w:hAnsi="仿宋_GB2312" w:eastAsia="仿宋_GB2312"/>
          <w:sz w:val="32"/>
        </w:rPr>
        <w:t xml:space="preserve"> 基于汉诺再集团公开信息及行业研究报告综合研判【附件9】</w:t>
      </w:r>
    </w:p>
    <w:p>
      <w:pPr>
        <w:spacing w:before="120" w:after="120"/>
        <w:jc w:val="center"/>
      </w:pPr>
      <w:r>
        <w:rPr>
          <w:rFonts w:ascii="仿宋_GB2312" w:hAnsi="仿宋_GB2312"/>
          <w:sz w:val="20"/>
        </w:rPr>
        <w:t>────────────────────────────────────────</w:t>
      </w:r>
    </w:p>
    <w:p>
      <w:pPr>
        <w:spacing w:line="360" w:lineRule="auto" w:before="240" w:after="120"/>
        <w:ind w:firstLine="420"/>
        <w:jc w:val="left"/>
      </w:pPr>
      <w:r>
        <w:rPr>
          <w:rFonts w:ascii="楷体" w:hAnsi="楷体" w:eastAsia="楷体"/>
          <w:b/>
          <w:sz w:val="32"/>
        </w:rPr>
        <w:t>2.7 前海再保险</w:t>
      </w:r>
    </w:p>
    <w:p>
      <w:pPr>
        <w:spacing w:line="360" w:lineRule="auto" w:before="240" w:after="120"/>
        <w:ind w:firstLine="420"/>
        <w:jc w:val="left"/>
      </w:pPr>
      <w:r>
        <w:rPr>
          <w:rFonts w:ascii="仿宋_GB2312" w:hAnsi="仿宋_GB2312" w:eastAsia="仿宋_GB2312"/>
          <w:b/>
          <w:sz w:val="32"/>
        </w:rPr>
        <w:t>2.7.1 企业概况</w:t>
      </w:r>
    </w:p>
    <w:p>
      <w:pPr>
        <w:spacing w:line="360" w:lineRule="auto"/>
        <w:ind w:firstLine="420"/>
        <w:jc w:val="both"/>
      </w:pPr>
      <w:r>
        <w:rPr>
          <w:rFonts w:ascii="仿宋_GB2312" w:hAnsi="仿宋_GB2312" w:eastAsia="仿宋_GB2312"/>
          <w:sz w:val="32"/>
        </w:rPr>
        <w:t>前海再保险股份有限公司（2016年成立），国内首家混合所有制再保险公司，总部深圳前海。【附件11】</w:t>
      </w:r>
    </w:p>
    <w:p>
      <w:pPr>
        <w:spacing w:line="360" w:lineRule="auto" w:before="240" w:after="120"/>
        <w:ind w:firstLine="420"/>
        <w:jc w:val="left"/>
      </w:pPr>
      <w:r>
        <w:rPr>
          <w:rFonts w:ascii="仿宋_GB2312" w:hAnsi="仿宋_GB2312" w:eastAsia="仿宋_GB2312"/>
          <w:b/>
          <w:sz w:val="32"/>
        </w:rPr>
        <w:t>2.7.2 战略方向</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差异化竞争：专注中小保险公司和区域保险机构需求</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科技驱动：建设科技赋能型再保险平台</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普惠保险：发展普惠型保险再保险方案</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区域聚焦：立足大湾区，辐射全国</w:t>
      </w:r>
    </w:p>
    <w:p>
      <w:pPr>
        <w:spacing w:line="360" w:lineRule="auto" w:before="240" w:after="120"/>
        <w:ind w:firstLine="420"/>
        <w:jc w:val="left"/>
      </w:pPr>
      <w:r>
        <w:rPr>
          <w:rFonts w:ascii="仿宋_GB2312" w:hAnsi="仿宋_GB2312" w:eastAsia="仿宋_GB2312"/>
          <w:b/>
          <w:sz w:val="32"/>
        </w:rPr>
        <w:t>2.7.3 市场偏好</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维度</w:t>
            </w:r>
          </w:p>
        </w:tc>
        <w:tc>
          <w:tcPr>
            <w:tcW w:type="dxa" w:w="4589"/>
            <w:shd w:fill="000000"/>
            <w:vAlign w:val="center"/>
          </w:tcPr>
          <w:p>
            <w:pPr>
              <w:spacing w:before="60" w:after="60"/>
              <w:jc w:val="center"/>
            </w:pPr>
            <w:r>
              <w:rPr>
                <w:rFonts w:ascii="仿宋_GB2312" w:hAnsi="仿宋_GB2312" w:eastAsia="仿宋_GB2312"/>
                <w:b/>
                <w:color w:val="FFFFFF"/>
                <w:sz w:val="28"/>
              </w:rPr>
              <w:t>偏好</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核心险种</w:t>
            </w:r>
          </w:p>
        </w:tc>
        <w:tc>
          <w:tcPr>
            <w:tcW w:type="dxa" w:w="4589"/>
            <w:vAlign w:val="center"/>
          </w:tcPr>
          <w:p>
            <w:pPr>
              <w:spacing w:before="60" w:after="60"/>
              <w:jc w:val="center"/>
            </w:pPr>
            <w:r>
              <w:rPr>
                <w:rFonts w:ascii="仿宋_GB2312" w:hAnsi="仿宋_GB2312" w:eastAsia="仿宋_GB2312"/>
                <w:sz w:val="28"/>
              </w:rPr>
              <w:t>财产险、意外险、短期健康险、信用保证保险</w:t>
            </w:r>
          </w:p>
        </w:tc>
      </w:tr>
      <w:tr>
        <w:tc>
          <w:tcPr>
            <w:tcW w:type="dxa" w:w="4589"/>
            <w:vAlign w:val="center"/>
            <w:shd w:fill="F5F5F5"/>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竞争优势</w:t>
            </w:r>
          </w:p>
        </w:tc>
        <w:tc>
          <w:tcPr>
            <w:tcW w:type="dxa" w:w="4589"/>
            <w:vAlign w:val="center"/>
            <w:shd w:fill="F5F5F5"/>
          </w:tcPr>
          <w:p>
            <w:pPr>
              <w:spacing w:before="60" w:after="60"/>
              <w:jc w:val="center"/>
            </w:pPr>
            <w:r>
              <w:rPr>
                <w:rFonts w:ascii="仿宋_GB2312" w:hAnsi="仿宋_GB2312" w:eastAsia="仿宋_GB2312"/>
                <w:sz w:val="28"/>
              </w:rPr>
              <w:t>决策灵活、审批高效、定制化能力强</w:t>
            </w:r>
          </w:p>
        </w:tc>
      </w:tr>
      <w:tr>
        <w:tc>
          <w:tcPr>
            <w:tcW w:type="dxa" w:w="4589"/>
            <w:vAlign w:val="center"/>
          </w:tcPr>
          <w:p>
            <w:pPr>
              <w:spacing w:before="60" w:after="60"/>
              <w:jc w:val="center"/>
            </w:pPr>
            <w:r>
              <w:rPr>
                <w:rFonts w:ascii="仿宋_GB2312" w:hAnsi="仿宋_GB2312" w:eastAsia="仿宋_GB2312"/>
                <w:sz w:val="28"/>
              </w:rPr>
              <w:t xml:space="preserve">📈 </w:t>
            </w:r>
            <w:r>
              <w:rPr>
                <w:rFonts w:ascii="仿宋_GB2312" w:hAnsi="仿宋_GB2312" w:eastAsia="仿宋_GB2312"/>
                <w:b/>
                <w:sz w:val="28"/>
              </w:rPr>
              <w:t>增长方向</w:t>
            </w:r>
          </w:p>
        </w:tc>
        <w:tc>
          <w:tcPr>
            <w:tcW w:type="dxa" w:w="4589"/>
            <w:vAlign w:val="center"/>
          </w:tcPr>
          <w:p>
            <w:pPr>
              <w:spacing w:before="60" w:after="60"/>
              <w:jc w:val="center"/>
            </w:pPr>
            <w:r>
              <w:rPr>
                <w:rFonts w:ascii="仿宋_GB2312" w:hAnsi="仿宋_GB2312" w:eastAsia="仿宋_GB2312"/>
                <w:sz w:val="28"/>
              </w:rPr>
              <w:t>互联网保险、普惠保险、科技创新保险</w:t>
            </w:r>
          </w:p>
        </w:tc>
      </w:tr>
    </w:tbl>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出处：</w:t>
      </w:r>
      <w:r>
        <w:rPr>
          <w:rFonts w:ascii="仿宋_GB2312" w:hAnsi="仿宋_GB2312" w:eastAsia="仿宋_GB2312"/>
          <w:sz w:val="32"/>
        </w:rPr>
        <w:t xml:space="preserve"> 基于前海再保险公开信息及行业研报综合研判【附件11】</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三、各公司市场偏好对比矩阵</w:t>
      </w:r>
    </w:p>
    <w:p>
      <w:pPr>
        <w:spacing w:line="360" w:lineRule="auto" w:before="240" w:after="120"/>
        <w:ind w:firstLine="420"/>
        <w:jc w:val="left"/>
      </w:pPr>
      <w:r>
        <w:rPr>
          <w:rFonts w:ascii="楷体" w:hAnsi="楷体" w:eastAsia="楷体"/>
          <w:b/>
          <w:sz w:val="32"/>
        </w:rPr>
        <w:t>3.1 业务偏好比较</w:t>
      </w:r>
    </w:p>
    <w:tbl>
      <w:tblPr>
        <w:tblW w:type="auto" w:w="0"/>
        <w:jc w:val="left"/>
        <w:tblLook w:firstColumn="1" w:firstRow="1" w:lastColumn="0" w:lastRow="0" w:noHBand="0" w:noVBand="1" w:val="04A0"/>
      </w:tblPr>
      <w:tblGrid>
        <w:gridCol w:w="9179"/>
      </w:tblGrid>
      <w:tr>
        <w:tc>
          <w:tcPr>
            <w:tcW w:type="dxa" w:w="9179"/>
            <w:shd w:fill="F5F5F5"/>
          </w:tcPr>
          <w:p>
            <w:pPr>
              <w:spacing w:before="0" w:after="0" w:line="288" w:lineRule="auto"/>
            </w:pPr>
            <w:r>
              <w:rPr>
                <w:rFonts w:ascii="Courier New" w:hAnsi="Courier New"/>
                <w:color w:val="000000"/>
                <w:sz w:val="24"/>
              </w:rPr>
              <w:t xml:space="preserve">                       传统业务 ←—————————→ 创新业务</w:t>
            </w:r>
          </w:p>
          <w:p>
            <w:pPr>
              <w:spacing w:before="0" w:after="0" w:line="288" w:lineRule="auto"/>
            </w:pPr>
            <w:r>
              <w:rPr>
                <w:rFonts w:ascii="Courier New" w:hAnsi="Courier New"/>
                <w:color w:val="000000"/>
                <w:sz w:val="24"/>
              </w:rPr>
              <w:t xml:space="preserve">                            |                    |</w:t>
            </w:r>
          </w:p>
          <w:p>
            <w:pPr>
              <w:spacing w:before="0" w:after="0" w:line="288" w:lineRule="auto"/>
            </w:pPr>
            <w:r>
              <w:rPr>
                <w:rFonts w:ascii="Courier New" w:hAnsi="Courier New"/>
                <w:color w:val="000000"/>
                <w:sz w:val="24"/>
              </w:rPr>
              <w:t xml:space="preserve">     高风控能力 ──── 慕再（巨灾/能源/航空） ── 慕再（绿色保险/ILS）</w:t>
            </w:r>
          </w:p>
          <w:p>
            <w:pPr>
              <w:spacing w:before="0" w:after="0" w:line="288" w:lineRule="auto"/>
            </w:pPr>
            <w:r>
              <w:rPr>
                <w:rFonts w:ascii="Courier New" w:hAnsi="Courier New"/>
                <w:color w:val="000000"/>
                <w:sz w:val="24"/>
              </w:rPr>
              <w:t xml:space="preserve">     全球技术           瑞再（农业/巨灾/寿险） ── 瑞再（参数化保险）</w:t>
            </w:r>
          </w:p>
          <w:p>
            <w:pPr>
              <w:spacing w:before="0" w:after="0" w:line="288" w:lineRule="auto"/>
            </w:pPr>
            <w:r>
              <w:rPr>
                <w:rFonts w:ascii="Courier New" w:hAnsi="Courier New"/>
                <w:color w:val="000000"/>
                <w:sz w:val="24"/>
              </w:rPr>
              <w:t xml:space="preserve">                        汉诺威（寿险/健康险） ── 汉诺威（eBUTION数字化）</w:t>
            </w:r>
          </w:p>
          <w:p>
            <w:pPr>
              <w:spacing w:before="0" w:after="0" w:line="288" w:lineRule="auto"/>
            </w:pPr>
            <w:r>
              <w:rPr>
                <w:rFonts w:ascii="Courier New" w:hAnsi="Courier New"/>
                <w:color w:val="000000"/>
                <w:sz w:val="24"/>
              </w:rPr>
              <w:t xml:space="preserve">                            |                    |</w:t>
            </w:r>
          </w:p>
          <w:p>
            <w:pPr>
              <w:spacing w:before="0" w:after="0" w:line="288" w:lineRule="auto"/>
            </w:pPr>
            <w:r>
              <w:rPr>
                <w:rFonts w:ascii="Courier New" w:hAnsi="Courier New"/>
                <w:color w:val="000000"/>
                <w:sz w:val="24"/>
              </w:rPr>
              <w:t xml:space="preserve">     本土 ── 中再（核保险/一带一路） ── 中再（气候风险平台）</w:t>
            </w:r>
          </w:p>
          <w:p>
            <w:pPr>
              <w:spacing w:before="0" w:after="0" w:line="288" w:lineRule="auto"/>
            </w:pPr>
            <w:r>
              <w:rPr>
                <w:rFonts w:ascii="Courier New" w:hAnsi="Courier New"/>
                <w:color w:val="000000"/>
                <w:sz w:val="24"/>
              </w:rPr>
              <w:t xml:space="preserve">     本地渠道           太平（大湾区/港澳）    ── 前海（互联网/普惠）</w:t>
            </w:r>
          </w:p>
          <w:p>
            <w:pPr>
              <w:spacing w:before="0" w:after="0" w:line="288" w:lineRule="auto"/>
            </w:pPr>
            <w:r>
              <w:rPr>
                <w:rFonts w:ascii="Courier New" w:hAnsi="Courier New"/>
                <w:color w:val="000000"/>
                <w:sz w:val="24"/>
              </w:rPr>
              <w:t xml:space="preserve">                        人保再（农业/政策性）   ── 太平（自贸港/跨境）</w:t>
            </w:r>
          </w:p>
          <w:p>
            <w:pPr>
              <w:spacing w:before="0" w:after="0" w:line="288" w:lineRule="auto"/>
            </w:pPr>
            <w:r>
              <w:rPr>
                <w:rFonts w:ascii="Courier New" w:hAnsi="Courier New"/>
                <w:color w:val="000000"/>
                <w:sz w:val="24"/>
              </w:rPr>
              <w:t xml:space="preserve">                            |                    |</w:t>
            </w:r>
          </w:p>
        </w:tc>
      </w:tr>
    </w:tbl>
    <w:p/>
    <w:p>
      <w:pPr>
        <w:spacing w:line="360" w:lineRule="auto" w:before="240" w:after="120"/>
        <w:ind w:firstLine="420"/>
        <w:jc w:val="left"/>
      </w:pPr>
      <w:r>
        <w:rPr>
          <w:rFonts w:ascii="楷体" w:hAnsi="楷体" w:eastAsia="楷体"/>
          <w:b/>
          <w:sz w:val="32"/>
        </w:rPr>
        <w:t>3.2 策略定位对比</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95"/>
        <w:gridCol w:w="2295"/>
        <w:gridCol w:w="2295"/>
        <w:gridCol w:w="2295"/>
      </w:tblGrid>
      <w:tr>
        <w:tc>
          <w:tcPr>
            <w:tcW w:type="dxa" w:w="2295"/>
            <w:shd w:fill="000000"/>
            <w:vAlign w:val="center"/>
          </w:tcPr>
          <w:p>
            <w:pPr>
              <w:spacing w:before="60" w:after="60"/>
              <w:jc w:val="center"/>
            </w:pPr>
            <w:r>
              <w:rPr>
                <w:rFonts w:ascii="仿宋_GB2312" w:hAnsi="仿宋_GB2312" w:eastAsia="仿宋_GB2312"/>
                <w:b/>
                <w:color w:val="FFFFFF"/>
                <w:sz w:val="28"/>
              </w:rPr>
              <w:t>公司</w:t>
            </w:r>
          </w:p>
        </w:tc>
        <w:tc>
          <w:tcPr>
            <w:tcW w:type="dxa" w:w="2295"/>
            <w:shd w:fill="000000"/>
            <w:vAlign w:val="center"/>
          </w:tcPr>
          <w:p>
            <w:pPr>
              <w:spacing w:before="60" w:after="60"/>
              <w:jc w:val="center"/>
            </w:pPr>
            <w:r>
              <w:rPr>
                <w:rFonts w:ascii="仿宋_GB2312" w:hAnsi="仿宋_GB2312" w:eastAsia="仿宋_GB2312"/>
                <w:b/>
                <w:color w:val="FFFFFF"/>
                <w:sz w:val="28"/>
              </w:rPr>
              <w:t>核心定位</w:t>
            </w:r>
          </w:p>
        </w:tc>
        <w:tc>
          <w:tcPr>
            <w:tcW w:type="dxa" w:w="2295"/>
            <w:shd w:fill="000000"/>
            <w:vAlign w:val="center"/>
          </w:tcPr>
          <w:p>
            <w:pPr>
              <w:spacing w:before="60" w:after="60"/>
              <w:jc w:val="center"/>
            </w:pPr>
            <w:r>
              <w:rPr>
                <w:rFonts w:ascii="仿宋_GB2312" w:hAnsi="仿宋_GB2312" w:eastAsia="仿宋_GB2312"/>
                <w:b/>
                <w:color w:val="FFFFFF"/>
                <w:sz w:val="28"/>
              </w:rPr>
              <w:t>关键能力</w:t>
            </w:r>
          </w:p>
        </w:tc>
        <w:tc>
          <w:tcPr>
            <w:tcW w:type="dxa" w:w="2295"/>
            <w:shd w:fill="000000"/>
            <w:vAlign w:val="center"/>
          </w:tcPr>
          <w:p>
            <w:pPr>
              <w:spacing w:before="60" w:after="60"/>
              <w:jc w:val="center"/>
            </w:pPr>
            <w:r>
              <w:rPr>
                <w:rFonts w:ascii="仿宋_GB2312" w:hAnsi="仿宋_GB2312" w:eastAsia="仿宋_GB2312"/>
                <w:b/>
                <w:color w:val="FFFFFF"/>
                <w:sz w:val="28"/>
              </w:rPr>
              <w:t>主要增长引擎</w:t>
            </w:r>
          </w:p>
        </w:tc>
      </w:tr>
      <w:tr>
        <w:tc>
          <w:tcPr>
            <w:tcW w:type="dxa" w:w="2295"/>
            <w:vAlign w:val="center"/>
          </w:tcPr>
          <w:p>
            <w:pPr>
              <w:spacing w:before="60" w:after="60"/>
              <w:jc w:val="center"/>
            </w:pPr>
            <w:r>
              <w:rPr>
                <w:rFonts w:ascii="仿宋_GB2312" w:hAnsi="仿宋_GB2312" w:eastAsia="仿宋_GB2312"/>
                <w:sz w:val="28"/>
              </w:rPr>
              <w:t>中再集团</w:t>
            </w:r>
          </w:p>
        </w:tc>
        <w:tc>
          <w:tcPr>
            <w:tcW w:type="dxa" w:w="2295"/>
            <w:vAlign w:val="center"/>
          </w:tcPr>
          <w:p>
            <w:pPr>
              <w:spacing w:before="60" w:after="60"/>
              <w:jc w:val="center"/>
            </w:pPr>
            <w:r>
              <w:rPr>
                <w:rFonts w:ascii="仿宋_GB2312" w:hAnsi="仿宋_GB2312" w:eastAsia="仿宋_GB2312"/>
                <w:sz w:val="28"/>
              </w:rPr>
              <w:t>"国家队、主力军"</w:t>
            </w:r>
          </w:p>
        </w:tc>
        <w:tc>
          <w:tcPr>
            <w:tcW w:type="dxa" w:w="2295"/>
            <w:vAlign w:val="center"/>
          </w:tcPr>
          <w:p>
            <w:pPr>
              <w:spacing w:before="60" w:after="60"/>
              <w:jc w:val="center"/>
            </w:pPr>
            <w:r>
              <w:rPr>
                <w:rFonts w:ascii="仿宋_GB2312" w:hAnsi="仿宋_GB2312" w:eastAsia="仿宋_GB2312"/>
                <w:sz w:val="28"/>
              </w:rPr>
              <w:t>政策资源+全球网络</w:t>
            </w:r>
          </w:p>
        </w:tc>
        <w:tc>
          <w:tcPr>
            <w:tcW w:type="dxa" w:w="2295"/>
            <w:vAlign w:val="center"/>
          </w:tcPr>
          <w:p>
            <w:pPr>
              <w:spacing w:before="60" w:after="60"/>
              <w:jc w:val="center"/>
            </w:pPr>
            <w:r>
              <w:rPr>
                <w:rFonts w:ascii="仿宋_GB2312" w:hAnsi="仿宋_GB2312" w:eastAsia="仿宋_GB2312"/>
                <w:sz w:val="28"/>
              </w:rPr>
              <w:t>国际化+科技化</w:t>
            </w:r>
          </w:p>
        </w:tc>
      </w:tr>
      <w:tr>
        <w:tc>
          <w:tcPr>
            <w:tcW w:type="dxa" w:w="2295"/>
            <w:vAlign w:val="center"/>
            <w:shd w:fill="F5F5F5"/>
          </w:tcPr>
          <w:p>
            <w:pPr>
              <w:spacing w:before="60" w:after="60"/>
              <w:jc w:val="center"/>
            </w:pPr>
            <w:r>
              <w:rPr>
                <w:rFonts w:ascii="仿宋_GB2312" w:hAnsi="仿宋_GB2312" w:eastAsia="仿宋_GB2312"/>
                <w:sz w:val="28"/>
              </w:rPr>
              <w:t>太平再保险</w:t>
            </w:r>
          </w:p>
        </w:tc>
        <w:tc>
          <w:tcPr>
            <w:tcW w:type="dxa" w:w="2295"/>
            <w:vAlign w:val="center"/>
            <w:shd w:fill="F5F5F5"/>
          </w:tcPr>
          <w:p>
            <w:pPr>
              <w:spacing w:before="60" w:after="60"/>
              <w:jc w:val="center"/>
            </w:pPr>
            <w:r>
              <w:rPr>
                <w:rFonts w:ascii="仿宋_GB2312" w:hAnsi="仿宋_GB2312" w:eastAsia="仿宋_GB2312"/>
                <w:sz w:val="28"/>
              </w:rPr>
              <w:t>"区域龙头"</w:t>
            </w:r>
          </w:p>
        </w:tc>
        <w:tc>
          <w:tcPr>
            <w:tcW w:type="dxa" w:w="2295"/>
            <w:vAlign w:val="center"/>
            <w:shd w:fill="F5F5F5"/>
          </w:tcPr>
          <w:p>
            <w:pPr>
              <w:spacing w:before="60" w:after="60"/>
              <w:jc w:val="center"/>
            </w:pPr>
            <w:r>
              <w:rPr>
                <w:rFonts w:ascii="仿宋_GB2312" w:hAnsi="仿宋_GB2312" w:eastAsia="仿宋_GB2312"/>
                <w:sz w:val="28"/>
              </w:rPr>
              <w:t>跨境平台+集团协同</w:t>
            </w:r>
          </w:p>
        </w:tc>
        <w:tc>
          <w:tcPr>
            <w:tcW w:type="dxa" w:w="2295"/>
            <w:vAlign w:val="center"/>
            <w:shd w:fill="F5F5F5"/>
          </w:tcPr>
          <w:p>
            <w:pPr>
              <w:spacing w:before="60" w:after="60"/>
              <w:jc w:val="center"/>
            </w:pPr>
            <w:r>
              <w:rPr>
                <w:rFonts w:ascii="仿宋_GB2312" w:hAnsi="仿宋_GB2312" w:eastAsia="仿宋_GB2312"/>
                <w:sz w:val="28"/>
              </w:rPr>
              <w:t>大湾区+东南亚</w:t>
            </w:r>
          </w:p>
        </w:tc>
      </w:tr>
      <w:tr>
        <w:tc>
          <w:tcPr>
            <w:tcW w:type="dxa" w:w="2295"/>
            <w:vAlign w:val="center"/>
          </w:tcPr>
          <w:p>
            <w:pPr>
              <w:spacing w:before="60" w:after="60"/>
              <w:jc w:val="center"/>
            </w:pPr>
            <w:r>
              <w:rPr>
                <w:rFonts w:ascii="仿宋_GB2312" w:hAnsi="仿宋_GB2312" w:eastAsia="仿宋_GB2312"/>
                <w:sz w:val="28"/>
              </w:rPr>
              <w:t>人保再保险</w:t>
            </w:r>
          </w:p>
        </w:tc>
        <w:tc>
          <w:tcPr>
            <w:tcW w:type="dxa" w:w="2295"/>
            <w:vAlign w:val="center"/>
          </w:tcPr>
          <w:p>
            <w:pPr>
              <w:spacing w:before="60" w:after="60"/>
              <w:jc w:val="center"/>
            </w:pPr>
            <w:r>
              <w:rPr>
                <w:rFonts w:ascii="仿宋_GB2312" w:hAnsi="仿宋_GB2312" w:eastAsia="仿宋_GB2312"/>
                <w:sz w:val="28"/>
              </w:rPr>
              <w:t>"集团内再保平台"</w:t>
            </w:r>
          </w:p>
        </w:tc>
        <w:tc>
          <w:tcPr>
            <w:tcW w:type="dxa" w:w="2295"/>
            <w:vAlign w:val="center"/>
          </w:tcPr>
          <w:p>
            <w:pPr>
              <w:spacing w:before="60" w:after="60"/>
              <w:jc w:val="center"/>
            </w:pPr>
            <w:r>
              <w:rPr>
                <w:rFonts w:ascii="仿宋_GB2312" w:hAnsi="仿宋_GB2312" w:eastAsia="仿宋_GB2312"/>
                <w:sz w:val="28"/>
              </w:rPr>
              <w:t>集团业务资源</w:t>
            </w:r>
          </w:p>
        </w:tc>
        <w:tc>
          <w:tcPr>
            <w:tcW w:type="dxa" w:w="2295"/>
            <w:vAlign w:val="center"/>
          </w:tcPr>
          <w:p>
            <w:pPr>
              <w:spacing w:before="60" w:after="60"/>
              <w:jc w:val="center"/>
            </w:pPr>
            <w:r>
              <w:rPr>
                <w:rFonts w:ascii="仿宋_GB2312" w:hAnsi="仿宋_GB2312" w:eastAsia="仿宋_GB2312"/>
                <w:sz w:val="28"/>
              </w:rPr>
              <w:t>内部协同+农险</w:t>
            </w:r>
          </w:p>
        </w:tc>
      </w:tr>
      <w:tr>
        <w:tc>
          <w:tcPr>
            <w:tcW w:type="dxa" w:w="2295"/>
            <w:vAlign w:val="center"/>
            <w:shd w:fill="F5F5F5"/>
          </w:tcPr>
          <w:p>
            <w:pPr>
              <w:spacing w:before="60" w:after="60"/>
              <w:jc w:val="center"/>
            </w:pPr>
            <w:r>
              <w:rPr>
                <w:rFonts w:ascii="仿宋_GB2312" w:hAnsi="仿宋_GB2312" w:eastAsia="仿宋_GB2312"/>
                <w:sz w:val="28"/>
              </w:rPr>
              <w:t>慕再（中国</w:t>
            </w:r>
          </w:p>
        </w:tc>
        <w:tc>
          <w:tcPr>
            <w:tcW w:type="dxa" w:w="2295"/>
            <w:vAlign w:val="center"/>
            <w:shd w:fill="F5F5F5"/>
          </w:tcPr>
          <w:p>
            <w:pPr>
              <w:spacing w:before="60" w:after="60"/>
              <w:jc w:val="center"/>
            </w:pPr>
            <w:r>
              <w:rPr>
                <w:rFonts w:ascii="仿宋_GB2312" w:hAnsi="仿宋_GB2312" w:eastAsia="仿宋_GB2312"/>
                <w:sz w:val="28"/>
              </w:rPr>
              <w:t>"全球技术本地化"</w:t>
            </w:r>
          </w:p>
        </w:tc>
        <w:tc>
          <w:tcPr>
            <w:tcW w:type="dxa" w:w="2295"/>
            <w:vAlign w:val="center"/>
            <w:shd w:fill="F5F5F5"/>
          </w:tcPr>
          <w:p>
            <w:pPr>
              <w:spacing w:before="60" w:after="60"/>
              <w:jc w:val="center"/>
            </w:pPr>
            <w:r>
              <w:rPr>
                <w:rFonts w:ascii="仿宋_GB2312" w:hAnsi="仿宋_GB2312" w:eastAsia="仿宋_GB2312"/>
                <w:sz w:val="28"/>
              </w:rPr>
              <w:t>巨灾模型+风控咨询</w:t>
            </w:r>
          </w:p>
        </w:tc>
        <w:tc>
          <w:tcPr>
            <w:tcW w:type="dxa" w:w="2295"/>
            <w:vAlign w:val="center"/>
            <w:shd w:fill="F5F5F5"/>
          </w:tcPr>
          <w:p>
            <w:pPr>
              <w:spacing w:before="60" w:after="60"/>
              <w:jc w:val="center"/>
            </w:pPr>
            <w:r>
              <w:rPr>
                <w:rFonts w:ascii="仿宋_GB2312" w:hAnsi="仿宋_GB2312" w:eastAsia="仿宋_GB2312"/>
                <w:sz w:val="28"/>
              </w:rPr>
              <w:t>绿色+数字化</w:t>
            </w:r>
          </w:p>
        </w:tc>
      </w:tr>
      <w:tr>
        <w:tc>
          <w:tcPr>
            <w:tcW w:type="dxa" w:w="2295"/>
            <w:vAlign w:val="center"/>
          </w:tcPr>
          <w:p>
            <w:pPr>
              <w:spacing w:before="60" w:after="60"/>
              <w:jc w:val="center"/>
            </w:pPr>
            <w:r>
              <w:rPr>
                <w:rFonts w:ascii="仿宋_GB2312" w:hAnsi="仿宋_GB2312" w:eastAsia="仿宋_GB2312"/>
                <w:sz w:val="28"/>
              </w:rPr>
              <w:t>瑞再（中国）</w:t>
            </w:r>
          </w:p>
        </w:tc>
        <w:tc>
          <w:tcPr>
            <w:tcW w:type="dxa" w:w="2295"/>
            <w:vAlign w:val="center"/>
          </w:tcPr>
          <w:p>
            <w:pPr>
              <w:spacing w:before="60" w:after="60"/>
              <w:jc w:val="center"/>
            </w:pPr>
            <w:r>
              <w:rPr>
                <w:rFonts w:ascii="仿宋_GB2312" w:hAnsi="仿宋_GB2312" w:eastAsia="仿宋_GB2312"/>
                <w:sz w:val="28"/>
              </w:rPr>
              <w:t>"风险知识伙伴"</w:t>
            </w:r>
          </w:p>
        </w:tc>
        <w:tc>
          <w:tcPr>
            <w:tcW w:type="dxa" w:w="2295"/>
            <w:vAlign w:val="center"/>
          </w:tcPr>
          <w:p>
            <w:pPr>
              <w:spacing w:before="60" w:after="60"/>
              <w:jc w:val="center"/>
            </w:pPr>
            <w:r>
              <w:rPr>
                <w:rFonts w:ascii="仿宋_GB2312" w:hAnsi="仿宋_GB2312" w:eastAsia="仿宋_GB2312"/>
                <w:sz w:val="28"/>
              </w:rPr>
              <w:t>sigma研究+巨灾建模</w:t>
            </w:r>
          </w:p>
        </w:tc>
        <w:tc>
          <w:tcPr>
            <w:tcW w:type="dxa" w:w="2295"/>
            <w:vAlign w:val="center"/>
          </w:tcPr>
          <w:p>
            <w:pPr>
              <w:spacing w:before="60" w:after="60"/>
              <w:jc w:val="center"/>
            </w:pPr>
            <w:r>
              <w:rPr>
                <w:rFonts w:ascii="仿宋_GB2312" w:hAnsi="仿宋_GB2312" w:eastAsia="仿宋_GB2312"/>
                <w:sz w:val="28"/>
              </w:rPr>
              <w:t>咨询+参数化保险</w:t>
            </w:r>
          </w:p>
        </w:tc>
      </w:tr>
      <w:tr>
        <w:tc>
          <w:tcPr>
            <w:tcW w:type="dxa" w:w="2295"/>
            <w:vAlign w:val="center"/>
            <w:shd w:fill="F5F5F5"/>
          </w:tcPr>
          <w:p>
            <w:pPr>
              <w:spacing w:before="60" w:after="60"/>
              <w:jc w:val="center"/>
            </w:pPr>
            <w:r>
              <w:rPr>
                <w:rFonts w:ascii="仿宋_GB2312" w:hAnsi="仿宋_GB2312" w:eastAsia="仿宋_GB2312"/>
                <w:sz w:val="28"/>
              </w:rPr>
              <w:t>汉诺威（中国）</w:t>
            </w:r>
          </w:p>
        </w:tc>
        <w:tc>
          <w:tcPr>
            <w:tcW w:type="dxa" w:w="2295"/>
            <w:vAlign w:val="center"/>
            <w:shd w:fill="F5F5F5"/>
          </w:tcPr>
          <w:p>
            <w:pPr>
              <w:spacing w:before="60" w:after="60"/>
              <w:jc w:val="center"/>
            </w:pPr>
            <w:r>
              <w:rPr>
                <w:rFonts w:ascii="仿宋_GB2312" w:hAnsi="仿宋_GB2312" w:eastAsia="仿宋_GB2312"/>
                <w:sz w:val="28"/>
              </w:rPr>
              <w:t>"寿险再保专家"</w:t>
            </w:r>
          </w:p>
        </w:tc>
        <w:tc>
          <w:tcPr>
            <w:tcW w:type="dxa" w:w="2295"/>
            <w:vAlign w:val="center"/>
            <w:shd w:fill="F5F5F5"/>
          </w:tcPr>
          <w:p>
            <w:pPr>
              <w:spacing w:before="60" w:after="60"/>
              <w:jc w:val="center"/>
            </w:pPr>
            <w:r>
              <w:rPr>
                <w:rFonts w:ascii="仿宋_GB2312" w:hAnsi="仿宋_GB2312" w:eastAsia="仿宋_GB2312"/>
                <w:sz w:val="28"/>
              </w:rPr>
              <w:t>数字化核保+eBUTION</w:t>
            </w:r>
          </w:p>
        </w:tc>
        <w:tc>
          <w:tcPr>
            <w:tcW w:type="dxa" w:w="2295"/>
            <w:vAlign w:val="center"/>
            <w:shd w:fill="F5F5F5"/>
          </w:tcPr>
          <w:p>
            <w:pPr>
              <w:spacing w:before="60" w:after="60"/>
              <w:jc w:val="center"/>
            </w:pPr>
            <w:r>
              <w:rPr>
                <w:rFonts w:ascii="仿宋_GB2312" w:hAnsi="仿宋_GB2312" w:eastAsia="仿宋_GB2312"/>
                <w:sz w:val="28"/>
              </w:rPr>
              <w:t>寿险+IFRS17机遇</w:t>
            </w:r>
          </w:p>
        </w:tc>
      </w:tr>
      <w:tr>
        <w:tc>
          <w:tcPr>
            <w:tcW w:type="dxa" w:w="2295"/>
            <w:vAlign w:val="center"/>
          </w:tcPr>
          <w:p>
            <w:pPr>
              <w:spacing w:before="60" w:after="60"/>
              <w:jc w:val="center"/>
            </w:pPr>
            <w:r>
              <w:rPr>
                <w:rFonts w:ascii="仿宋_GB2312" w:hAnsi="仿宋_GB2312" w:eastAsia="仿宋_GB2312"/>
                <w:sz w:val="28"/>
              </w:rPr>
              <w:t>前海再保险</w:t>
            </w:r>
          </w:p>
        </w:tc>
        <w:tc>
          <w:tcPr>
            <w:tcW w:type="dxa" w:w="2295"/>
            <w:vAlign w:val="center"/>
          </w:tcPr>
          <w:p>
            <w:pPr>
              <w:spacing w:before="60" w:after="60"/>
              <w:jc w:val="center"/>
            </w:pPr>
            <w:r>
              <w:rPr>
                <w:rFonts w:ascii="仿宋_GB2312" w:hAnsi="仿宋_GB2312" w:eastAsia="仿宋_GB2312"/>
                <w:sz w:val="28"/>
              </w:rPr>
              <w:t>"创新再保险平台"</w:t>
            </w:r>
          </w:p>
        </w:tc>
        <w:tc>
          <w:tcPr>
            <w:tcW w:type="dxa" w:w="2295"/>
            <w:vAlign w:val="center"/>
          </w:tcPr>
          <w:p>
            <w:pPr>
              <w:spacing w:before="60" w:after="60"/>
              <w:jc w:val="center"/>
            </w:pPr>
            <w:r>
              <w:rPr>
                <w:rFonts w:ascii="仿宋_GB2312" w:hAnsi="仿宋_GB2312" w:eastAsia="仿宋_GB2312"/>
                <w:sz w:val="28"/>
              </w:rPr>
              <w:t>决策灵活+定制化</w:t>
            </w:r>
          </w:p>
        </w:tc>
        <w:tc>
          <w:tcPr>
            <w:tcW w:type="dxa" w:w="2295"/>
            <w:vAlign w:val="center"/>
          </w:tcPr>
          <w:p>
            <w:pPr>
              <w:spacing w:before="60" w:after="60"/>
              <w:jc w:val="center"/>
            </w:pPr>
            <w:r>
              <w:rPr>
                <w:rFonts w:ascii="仿宋_GB2312" w:hAnsi="仿宋_GB2312" w:eastAsia="仿宋_GB2312"/>
                <w:sz w:val="28"/>
              </w:rPr>
              <w:t>差异化+科技</w:t>
            </w:r>
          </w:p>
        </w:tc>
      </w:tr>
    </w:tbl>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四、未来1-3年市场趋势判断</w:t>
      </w:r>
    </w:p>
    <w:p>
      <w:pPr>
        <w:spacing w:line="360" w:lineRule="auto" w:before="240" w:after="120"/>
        <w:ind w:firstLine="420"/>
        <w:jc w:val="left"/>
      </w:pPr>
      <w:r>
        <w:rPr>
          <w:rFonts w:ascii="楷体" w:hAnsi="楷体" w:eastAsia="楷体"/>
          <w:b/>
          <w:sz w:val="32"/>
        </w:rPr>
        <w:t>4.1 行业经营格局演变</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95"/>
        <w:gridCol w:w="2295"/>
        <w:gridCol w:w="2295"/>
        <w:gridCol w:w="2295"/>
      </w:tblGrid>
      <w:tr>
        <w:tc>
          <w:tcPr>
            <w:tcW w:type="dxa" w:w="2295"/>
            <w:shd w:fill="000000"/>
            <w:vAlign w:val="center"/>
          </w:tcPr>
          <w:p>
            <w:pPr>
              <w:spacing w:before="60" w:after="60"/>
              <w:jc w:val="center"/>
            </w:pPr>
            <w:r>
              <w:rPr>
                <w:rFonts w:ascii="仿宋_GB2312" w:hAnsi="仿宋_GB2312" w:eastAsia="仿宋_GB2312"/>
                <w:b/>
                <w:color w:val="FFFFFF"/>
                <w:sz w:val="28"/>
              </w:rPr>
              <w:t>趋势</w:t>
            </w:r>
          </w:p>
        </w:tc>
        <w:tc>
          <w:tcPr>
            <w:tcW w:type="dxa" w:w="2295"/>
            <w:shd w:fill="000000"/>
            <w:vAlign w:val="center"/>
          </w:tcPr>
          <w:p>
            <w:pPr>
              <w:spacing w:before="60" w:after="60"/>
              <w:jc w:val="center"/>
            </w:pPr>
            <w:r>
              <w:rPr>
                <w:rFonts w:ascii="仿宋_GB2312" w:hAnsi="仿宋_GB2312" w:eastAsia="仿宋_GB2312"/>
                <w:b/>
                <w:color w:val="FFFFFF"/>
                <w:sz w:val="28"/>
              </w:rPr>
              <w:t>具体表现</w:t>
            </w:r>
          </w:p>
        </w:tc>
        <w:tc>
          <w:tcPr>
            <w:tcW w:type="dxa" w:w="2295"/>
            <w:shd w:fill="000000"/>
            <w:vAlign w:val="center"/>
          </w:tcPr>
          <w:p>
            <w:pPr>
              <w:spacing w:before="60" w:after="60"/>
              <w:jc w:val="center"/>
            </w:pPr>
            <w:r>
              <w:rPr>
                <w:rFonts w:ascii="仿宋_GB2312" w:hAnsi="仿宋_GB2312" w:eastAsia="仿宋_GB2312"/>
                <w:b/>
                <w:color w:val="FFFFFF"/>
                <w:sz w:val="28"/>
              </w:rPr>
              <w:t>影响程度</w:t>
            </w:r>
          </w:p>
        </w:tc>
        <w:tc>
          <w:tcPr>
            <w:tcW w:type="dxa" w:w="2295"/>
            <w:shd w:fill="000000"/>
            <w:vAlign w:val="center"/>
          </w:tcPr>
          <w:p>
            <w:pPr>
              <w:spacing w:before="60" w:after="60"/>
              <w:jc w:val="center"/>
            </w:pPr>
            <w:r>
              <w:rPr>
                <w:rFonts w:ascii="仿宋_GB2312" w:hAnsi="仿宋_GB2312" w:eastAsia="仿宋_GB2312"/>
                <w:b/>
                <w:color w:val="FFFFFF"/>
                <w:sz w:val="28"/>
              </w:rPr>
              <w:t>参考来源</w:t>
            </w:r>
          </w:p>
        </w:tc>
      </w:tr>
      <w:tr>
        <w:tc>
          <w:tcPr>
            <w:tcW w:type="dxa" w:w="2295"/>
            <w:vAlign w:val="center"/>
          </w:tcPr>
          <w:p>
            <w:pPr>
              <w:spacing w:before="60" w:after="60"/>
              <w:jc w:val="center"/>
            </w:pPr>
            <w:r>
              <w:rPr>
                <w:rFonts w:ascii="仿宋_GB2312" w:hAnsi="仿宋_GB2312" w:eastAsia="仿宋_GB2312"/>
                <w:b/>
                <w:sz w:val="28"/>
              </w:rPr>
              <w:t>市场份额集中化</w:t>
            </w:r>
          </w:p>
        </w:tc>
        <w:tc>
          <w:tcPr>
            <w:tcW w:type="dxa" w:w="2295"/>
            <w:vAlign w:val="center"/>
          </w:tcPr>
          <w:p>
            <w:pPr>
              <w:spacing w:before="60" w:after="60"/>
              <w:jc w:val="center"/>
            </w:pPr>
            <w:r>
              <w:rPr>
                <w:rFonts w:ascii="仿宋_GB2312" w:hAnsi="仿宋_GB2312" w:eastAsia="仿宋_GB2312"/>
                <w:sz w:val="28"/>
              </w:rPr>
              <w:t>中再集团主导地位稳固，外资再保险市场份额提升</w:t>
            </w:r>
          </w:p>
        </w:tc>
        <w:tc>
          <w:tcPr>
            <w:tcW w:type="dxa" w:w="2295"/>
            <w:vAlign w:val="center"/>
          </w:tcPr>
          <w:p>
            <w:pPr>
              <w:spacing w:before="60" w:after="60"/>
              <w:jc w:val="center"/>
            </w:pPr>
            <w:r>
              <w:rPr>
                <w:rFonts w:ascii="仿宋_GB2312" w:hAnsi="仿宋_GB2312" w:eastAsia="仿宋_GB2312"/>
                <w:sz w:val="28"/>
              </w:rPr>
              <w:t>⭐⭐⭐⭐⭐</w:t>
            </w:r>
          </w:p>
        </w:tc>
        <w:tc>
          <w:tcPr>
            <w:tcW w:type="dxa" w:w="2295"/>
            <w:vAlign w:val="center"/>
          </w:tcPr>
          <w:p>
            <w:pPr>
              <w:spacing w:before="60" w:after="60"/>
              <w:jc w:val="center"/>
            </w:pPr>
            <w:r>
              <w:rPr>
                <w:rFonts w:ascii="仿宋_GB2312" w:hAnsi="仿宋_GB2312" w:eastAsia="仿宋_GB2312"/>
                <w:sz w:val="28"/>
              </w:rPr>
              <w:t>【附件2】</w:t>
            </w:r>
          </w:p>
        </w:tc>
      </w:tr>
      <w:tr>
        <w:tc>
          <w:tcPr>
            <w:tcW w:type="dxa" w:w="2295"/>
            <w:vAlign w:val="center"/>
            <w:shd w:fill="F5F5F5"/>
          </w:tcPr>
          <w:p>
            <w:pPr>
              <w:spacing w:before="60" w:after="60"/>
              <w:jc w:val="center"/>
            </w:pPr>
            <w:r>
              <w:rPr>
                <w:rFonts w:ascii="仿宋_GB2312" w:hAnsi="仿宋_GB2312" w:eastAsia="仿宋_GB2312"/>
                <w:b/>
                <w:sz w:val="28"/>
              </w:rPr>
              <w:t>专业化分工深化</w:t>
            </w:r>
          </w:p>
        </w:tc>
        <w:tc>
          <w:tcPr>
            <w:tcW w:type="dxa" w:w="2295"/>
            <w:vAlign w:val="center"/>
            <w:shd w:fill="F5F5F5"/>
          </w:tcPr>
          <w:p>
            <w:pPr>
              <w:spacing w:before="60" w:after="60"/>
              <w:jc w:val="center"/>
            </w:pPr>
            <w:r>
              <w:rPr>
                <w:rFonts w:ascii="仿宋_GB2312" w:hAnsi="仿宋_GB2312" w:eastAsia="仿宋_GB2312"/>
                <w:sz w:val="28"/>
              </w:rPr>
              <w:t>各公司在细分领域形成差异化竞争力</w:t>
            </w:r>
          </w:p>
        </w:tc>
        <w:tc>
          <w:tcPr>
            <w:tcW w:type="dxa" w:w="2295"/>
            <w:vAlign w:val="center"/>
            <w:shd w:fill="F5F5F5"/>
          </w:tcPr>
          <w:p>
            <w:pPr>
              <w:spacing w:before="60" w:after="60"/>
              <w:jc w:val="center"/>
            </w:pPr>
            <w:r>
              <w:rPr>
                <w:rFonts w:ascii="仿宋_GB2312" w:hAnsi="仿宋_GB2312" w:eastAsia="仿宋_GB2312"/>
                <w:sz w:val="28"/>
              </w:rPr>
              <w:t>⭐⭐⭐⭐</w:t>
            </w:r>
          </w:p>
        </w:tc>
        <w:tc>
          <w:tcPr>
            <w:tcW w:type="dxa" w:w="2295"/>
            <w:vAlign w:val="center"/>
            <w:shd w:fill="F5F5F5"/>
          </w:tcPr>
          <w:p>
            <w:pPr>
              <w:spacing w:before="60" w:after="60"/>
              <w:jc w:val="center"/>
            </w:pPr>
            <w:r>
              <w:rPr>
                <w:rFonts w:ascii="仿宋_GB2312" w:hAnsi="仿宋_GB2312" w:eastAsia="仿宋_GB2312"/>
                <w:sz w:val="28"/>
              </w:rPr>
              <w:t>【附件7-11】</w:t>
            </w:r>
          </w:p>
        </w:tc>
      </w:tr>
      <w:tr>
        <w:tc>
          <w:tcPr>
            <w:tcW w:type="dxa" w:w="2295"/>
            <w:vAlign w:val="center"/>
          </w:tcPr>
          <w:p>
            <w:pPr>
              <w:spacing w:before="60" w:after="60"/>
              <w:jc w:val="center"/>
            </w:pPr>
            <w:r>
              <w:rPr>
                <w:rFonts w:ascii="仿宋_GB2312" w:hAnsi="仿宋_GB2312" w:eastAsia="仿宋_GB2312"/>
                <w:b/>
                <w:sz w:val="28"/>
              </w:rPr>
              <w:t>科技驱动转型</w:t>
            </w:r>
          </w:p>
        </w:tc>
        <w:tc>
          <w:tcPr>
            <w:tcW w:type="dxa" w:w="2295"/>
            <w:vAlign w:val="center"/>
          </w:tcPr>
          <w:p>
            <w:pPr>
              <w:spacing w:before="60" w:after="60"/>
              <w:jc w:val="center"/>
            </w:pPr>
            <w:r>
              <w:rPr>
                <w:rFonts w:ascii="仿宋_GB2312" w:hAnsi="仿宋_GB2312" w:eastAsia="仿宋_GB2312"/>
                <w:sz w:val="28"/>
              </w:rPr>
              <w:t>AI、大数据、区块链改变承保定价模式</w:t>
            </w:r>
          </w:p>
        </w:tc>
        <w:tc>
          <w:tcPr>
            <w:tcW w:type="dxa" w:w="2295"/>
            <w:vAlign w:val="center"/>
          </w:tcPr>
          <w:p>
            <w:pPr>
              <w:spacing w:before="60" w:after="60"/>
              <w:jc w:val="center"/>
            </w:pPr>
            <w:r>
              <w:rPr>
                <w:rFonts w:ascii="仿宋_GB2312" w:hAnsi="仿宋_GB2312" w:eastAsia="仿宋_GB2312"/>
                <w:sz w:val="28"/>
              </w:rPr>
              <w:t>⭐⭐⭐⭐</w:t>
            </w:r>
          </w:p>
        </w:tc>
        <w:tc>
          <w:tcPr>
            <w:tcW w:type="dxa" w:w="2295"/>
            <w:vAlign w:val="center"/>
          </w:tcPr>
          <w:p>
            <w:pPr>
              <w:spacing w:before="60" w:after="60"/>
              <w:jc w:val="center"/>
            </w:pPr>
            <w:r>
              <w:rPr>
                <w:rFonts w:ascii="仿宋_GB2312" w:hAnsi="仿宋_GB2312" w:eastAsia="仿宋_GB2312"/>
                <w:sz w:val="28"/>
              </w:rPr>
              <w:t>【附件1】</w:t>
            </w:r>
          </w:p>
        </w:tc>
      </w:tr>
      <w:tr>
        <w:tc>
          <w:tcPr>
            <w:tcW w:type="dxa" w:w="2295"/>
            <w:vAlign w:val="center"/>
            <w:shd w:fill="F5F5F5"/>
          </w:tcPr>
          <w:p>
            <w:pPr>
              <w:spacing w:before="60" w:after="60"/>
              <w:jc w:val="center"/>
            </w:pPr>
            <w:r>
              <w:rPr>
                <w:rFonts w:ascii="仿宋_GB2312" w:hAnsi="仿宋_GB2312" w:eastAsia="仿宋_GB2312"/>
                <w:b/>
                <w:sz w:val="28"/>
              </w:rPr>
              <w:t>国际化加速</w:t>
            </w:r>
          </w:p>
        </w:tc>
        <w:tc>
          <w:tcPr>
            <w:tcW w:type="dxa" w:w="2295"/>
            <w:vAlign w:val="center"/>
            <w:shd w:fill="F5F5F5"/>
          </w:tcPr>
          <w:p>
            <w:pPr>
              <w:spacing w:before="60" w:after="60"/>
              <w:jc w:val="center"/>
            </w:pPr>
            <w:r>
              <w:rPr>
                <w:rFonts w:ascii="仿宋_GB2312" w:hAnsi="仿宋_GB2312" w:eastAsia="仿宋_GB2312"/>
                <w:sz w:val="28"/>
              </w:rPr>
              <w:t>中资/外资再保险双向互动</w:t>
            </w:r>
          </w:p>
        </w:tc>
        <w:tc>
          <w:tcPr>
            <w:tcW w:type="dxa" w:w="2295"/>
            <w:vAlign w:val="center"/>
            <w:shd w:fill="F5F5F5"/>
          </w:tcPr>
          <w:p>
            <w:pPr>
              <w:spacing w:before="60" w:after="60"/>
              <w:jc w:val="center"/>
            </w:pPr>
            <w:r>
              <w:rPr>
                <w:rFonts w:ascii="仿宋_GB2312" w:hAnsi="仿宋_GB2312" w:eastAsia="仿宋_GB2312"/>
                <w:sz w:val="28"/>
              </w:rPr>
              <w:t>⭐⭐⭐⭐</w:t>
            </w:r>
          </w:p>
        </w:tc>
        <w:tc>
          <w:tcPr>
            <w:tcW w:type="dxa" w:w="2295"/>
            <w:vAlign w:val="center"/>
            <w:shd w:fill="F5F5F5"/>
          </w:tcPr>
          <w:p>
            <w:pPr>
              <w:spacing w:before="60" w:after="60"/>
              <w:jc w:val="center"/>
            </w:pPr>
            <w:r>
              <w:rPr>
                <w:rFonts w:ascii="仿宋_GB2312" w:hAnsi="仿宋_GB2312" w:eastAsia="仿宋_GB2312"/>
                <w:sz w:val="28"/>
              </w:rPr>
              <w:t>【附件4】</w:t>
            </w:r>
          </w:p>
        </w:tc>
      </w:tr>
      <w:tr>
        <w:tc>
          <w:tcPr>
            <w:tcW w:type="dxa" w:w="2295"/>
            <w:vAlign w:val="center"/>
          </w:tcPr>
          <w:p>
            <w:pPr>
              <w:spacing w:before="60" w:after="60"/>
              <w:jc w:val="center"/>
            </w:pPr>
            <w:r>
              <w:rPr>
                <w:rFonts w:ascii="仿宋_GB2312" w:hAnsi="仿宋_GB2312" w:eastAsia="仿宋_GB2312"/>
                <w:sz w:val="28"/>
              </w:rPr>
              <w:t>**监管部门专业化</w:t>
            </w:r>
          </w:p>
        </w:tc>
        <w:tc>
          <w:tcPr>
            <w:tcW w:type="dxa" w:w="2295"/>
            <w:vAlign w:val="center"/>
          </w:tcPr>
          <w:p>
            <w:pPr>
              <w:spacing w:before="60" w:after="60"/>
              <w:jc w:val="center"/>
            </w:pPr>
            <w:r>
              <w:rPr>
                <w:rFonts w:ascii="仿宋_GB2312" w:hAnsi="仿宋_GB2312" w:eastAsia="仿宋_GB2312"/>
                <w:sz w:val="28"/>
              </w:rPr>
              <w:t>再保险监管司设立，监管精细化</w:t>
            </w:r>
          </w:p>
        </w:tc>
        <w:tc>
          <w:tcPr>
            <w:tcW w:type="dxa" w:w="2295"/>
            <w:vAlign w:val="center"/>
          </w:tcPr>
          <w:p>
            <w:pPr>
              <w:spacing w:before="60" w:after="60"/>
              <w:jc w:val="center"/>
            </w:pPr>
            <w:r>
              <w:rPr>
                <w:rFonts w:ascii="仿宋_GB2312" w:hAnsi="仿宋_GB2312" w:eastAsia="仿宋_GB2312"/>
                <w:sz w:val="28"/>
              </w:rPr>
              <w:t>⭐⭐⭐</w:t>
            </w:r>
          </w:p>
        </w:tc>
        <w:tc>
          <w:tcPr>
            <w:tcW w:type="dxa" w:w="2295"/>
            <w:vAlign w:val="center"/>
          </w:tcPr>
          <w:p>
            <w:pPr>
              <w:spacing w:before="60" w:after="60"/>
              <w:jc w:val="center"/>
            </w:pPr>
            <w:r>
              <w:rPr>
                <w:rFonts w:ascii="仿宋_GB2312" w:hAnsi="仿宋_GB2312" w:eastAsia="仿宋_GB2312"/>
                <w:sz w:val="28"/>
              </w:rPr>
              <w:t>【附件6】</w:t>
            </w:r>
          </w:p>
        </w:tc>
      </w:tr>
    </w:tbl>
    <w:p/>
    <w:p>
      <w:pPr>
        <w:spacing w:line="360" w:lineRule="auto" w:before="240" w:after="120"/>
        <w:ind w:firstLine="420"/>
        <w:jc w:val="left"/>
      </w:pPr>
      <w:r>
        <w:rPr>
          <w:rFonts w:ascii="楷体" w:hAnsi="楷体" w:eastAsia="楷体"/>
          <w:b/>
          <w:sz w:val="32"/>
        </w:rPr>
        <w:t>4.2 未来竞争焦点</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竞争领域</w:t>
            </w:r>
          </w:p>
        </w:tc>
        <w:tc>
          <w:tcPr>
            <w:tcW w:type="dxa" w:w="3060"/>
            <w:shd w:fill="000000"/>
            <w:vAlign w:val="center"/>
          </w:tcPr>
          <w:p>
            <w:pPr>
              <w:spacing w:before="60" w:after="60"/>
              <w:jc w:val="center"/>
            </w:pPr>
            <w:r>
              <w:rPr>
                <w:rFonts w:ascii="仿宋_GB2312" w:hAnsi="仿宋_GB2312" w:eastAsia="仿宋_GB2312"/>
                <w:b/>
                <w:color w:val="FFFFFF"/>
                <w:sz w:val="28"/>
              </w:rPr>
              <w:t>主要参与者</w:t>
            </w:r>
          </w:p>
        </w:tc>
        <w:tc>
          <w:tcPr>
            <w:tcW w:type="dxa" w:w="3060"/>
            <w:shd w:fill="000000"/>
            <w:vAlign w:val="center"/>
          </w:tcPr>
          <w:p>
            <w:pPr>
              <w:spacing w:before="60" w:after="60"/>
              <w:jc w:val="center"/>
            </w:pPr>
            <w:r>
              <w:rPr>
                <w:rFonts w:ascii="仿宋_GB2312" w:hAnsi="仿宋_GB2312" w:eastAsia="仿宋_GB2312"/>
                <w:b/>
                <w:color w:val="FFFFFF"/>
                <w:sz w:val="28"/>
              </w:rPr>
              <w:t>策略特征</w:t>
            </w:r>
          </w:p>
        </w:tc>
      </w:tr>
      <w:tr>
        <w:tc>
          <w:tcPr>
            <w:tcW w:type="dxa" w:w="3060"/>
            <w:vAlign w:val="center"/>
          </w:tcPr>
          <w:p>
            <w:pPr>
              <w:spacing w:before="60" w:after="60"/>
              <w:jc w:val="center"/>
            </w:pPr>
            <w:r>
              <w:rPr>
                <w:rFonts w:ascii="仿宋_GB2312" w:hAnsi="仿宋_GB2312" w:eastAsia="仿宋_GB2312"/>
                <w:b/>
                <w:sz w:val="28"/>
              </w:rPr>
              <w:t>财产险巨灾再保险</w:t>
            </w:r>
          </w:p>
        </w:tc>
        <w:tc>
          <w:tcPr>
            <w:tcW w:type="dxa" w:w="3060"/>
            <w:vAlign w:val="center"/>
          </w:tcPr>
          <w:p>
            <w:pPr>
              <w:spacing w:before="60" w:after="60"/>
              <w:jc w:val="center"/>
            </w:pPr>
            <w:r>
              <w:rPr>
                <w:rFonts w:ascii="仿宋_GB2312" w:hAnsi="仿宋_GB2312" w:eastAsia="仿宋_GB2312"/>
                <w:sz w:val="28"/>
              </w:rPr>
              <w:t>慕再、瑞再、中再、太平再</w:t>
            </w:r>
          </w:p>
        </w:tc>
        <w:tc>
          <w:tcPr>
            <w:tcW w:type="dxa" w:w="3060"/>
            <w:vAlign w:val="center"/>
          </w:tcPr>
          <w:p>
            <w:pPr>
              <w:spacing w:before="60" w:after="60"/>
              <w:jc w:val="center"/>
            </w:pPr>
            <w:r>
              <w:rPr>
                <w:rFonts w:ascii="仿宋_GB2312" w:hAnsi="仿宋_GB2312" w:eastAsia="仿宋_GB2312"/>
                <w:sz w:val="28"/>
              </w:rPr>
              <w:t>巨灾模型能力为核心</w:t>
            </w:r>
          </w:p>
        </w:tc>
      </w:tr>
      <w:tr>
        <w:tc>
          <w:tcPr>
            <w:tcW w:type="dxa" w:w="3060"/>
            <w:vAlign w:val="center"/>
            <w:shd w:fill="F5F5F5"/>
          </w:tcPr>
          <w:p>
            <w:pPr>
              <w:spacing w:before="60" w:after="60"/>
              <w:jc w:val="center"/>
            </w:pPr>
            <w:r>
              <w:rPr>
                <w:rFonts w:ascii="仿宋_GB2312" w:hAnsi="仿宋_GB2312" w:eastAsia="仿宋_GB2312"/>
                <w:b/>
                <w:sz w:val="28"/>
              </w:rPr>
              <w:t>寿险再保险（重疾/医疗）</w:t>
            </w:r>
          </w:p>
        </w:tc>
        <w:tc>
          <w:tcPr>
            <w:tcW w:type="dxa" w:w="3060"/>
            <w:vAlign w:val="center"/>
            <w:shd w:fill="F5F5F5"/>
          </w:tcPr>
          <w:p>
            <w:pPr>
              <w:spacing w:before="60" w:after="60"/>
              <w:jc w:val="center"/>
            </w:pPr>
            <w:r>
              <w:rPr>
                <w:rFonts w:ascii="仿宋_GB2312" w:hAnsi="仿宋_GB2312" w:eastAsia="仿宋_GB2312"/>
                <w:sz w:val="28"/>
              </w:rPr>
              <w:t>汉诺威再、瑞再、中再寿险</w:t>
            </w:r>
          </w:p>
        </w:tc>
        <w:tc>
          <w:tcPr>
            <w:tcW w:type="dxa" w:w="3060"/>
            <w:vAlign w:val="center"/>
            <w:shd w:fill="F5F5F5"/>
          </w:tcPr>
          <w:p>
            <w:pPr>
              <w:spacing w:before="60" w:after="60"/>
              <w:jc w:val="center"/>
            </w:pPr>
            <w:r>
              <w:rPr>
                <w:rFonts w:ascii="仿宋_GB2312" w:hAnsi="仿宋_GB2312" w:eastAsia="仿宋_GB2312"/>
                <w:sz w:val="28"/>
              </w:rPr>
              <w:t>精算定价+数字化转型</w:t>
            </w:r>
          </w:p>
        </w:tc>
      </w:tr>
      <w:tr>
        <w:tc>
          <w:tcPr>
            <w:tcW w:type="dxa" w:w="3060"/>
            <w:vAlign w:val="center"/>
          </w:tcPr>
          <w:p>
            <w:pPr>
              <w:spacing w:before="60" w:after="60"/>
              <w:jc w:val="center"/>
            </w:pPr>
            <w:r>
              <w:rPr>
                <w:rFonts w:ascii="仿宋_GB2312" w:hAnsi="仿宋_GB2312" w:eastAsia="仿宋_GB2312"/>
                <w:b/>
                <w:sz w:val="28"/>
              </w:rPr>
              <w:t>一带一路/海外特殊风险</w:t>
            </w:r>
          </w:p>
        </w:tc>
        <w:tc>
          <w:tcPr>
            <w:tcW w:type="dxa" w:w="3060"/>
            <w:vAlign w:val="center"/>
          </w:tcPr>
          <w:p>
            <w:pPr>
              <w:spacing w:before="60" w:after="60"/>
              <w:jc w:val="center"/>
            </w:pPr>
            <w:r>
              <w:rPr>
                <w:rFonts w:ascii="仿宋_GB2312" w:hAnsi="仿宋_GB2312" w:eastAsia="仿宋_GB2312"/>
                <w:sz w:val="28"/>
              </w:rPr>
              <w:t>中再（绝对领先）、慕、太平再</w:t>
            </w:r>
          </w:p>
        </w:tc>
        <w:tc>
          <w:tcPr>
            <w:tcW w:type="dxa" w:w="3060"/>
            <w:vAlign w:val="center"/>
          </w:tcPr>
          <w:p>
            <w:pPr>
              <w:spacing w:before="60" w:after="60"/>
              <w:jc w:val="center"/>
            </w:pPr>
            <w:r>
              <w:rPr>
                <w:rFonts w:ascii="仿宋_GB2312" w:hAnsi="仿宋_GB2312" w:eastAsia="仿宋_GB2312"/>
                <w:sz w:val="28"/>
              </w:rPr>
              <w:t>政策性驱动，政治风险保障</w:t>
            </w:r>
          </w:p>
        </w:tc>
      </w:tr>
      <w:tr>
        <w:tc>
          <w:tcPr>
            <w:tcW w:type="dxa" w:w="3060"/>
            <w:vAlign w:val="center"/>
            <w:shd w:fill="F5F5F5"/>
          </w:tcPr>
          <w:p>
            <w:pPr>
              <w:spacing w:before="60" w:after="60"/>
              <w:jc w:val="center"/>
            </w:pPr>
            <w:r>
              <w:rPr>
                <w:rFonts w:ascii="仿宋_GB2312" w:hAnsi="仿宋_GB2312" w:eastAsia="仿宋_GB2312"/>
                <w:b/>
                <w:sz w:val="28"/>
              </w:rPr>
              <w:t>农业再保险</w:t>
            </w:r>
          </w:p>
        </w:tc>
        <w:tc>
          <w:tcPr>
            <w:tcW w:type="dxa" w:w="3060"/>
            <w:vAlign w:val="center"/>
            <w:shd w:fill="F5F5F5"/>
          </w:tcPr>
          <w:p>
            <w:pPr>
              <w:spacing w:before="60" w:after="60"/>
              <w:jc w:val="center"/>
            </w:pPr>
            <w:r>
              <w:rPr>
                <w:rFonts w:ascii="仿宋_GB2312" w:hAnsi="仿宋_GB2312" w:eastAsia="仿宋_GB2312"/>
                <w:sz w:val="28"/>
              </w:rPr>
              <w:t>中再、瑞再、人保再、慕再</w:t>
            </w:r>
          </w:p>
        </w:tc>
        <w:tc>
          <w:tcPr>
            <w:tcW w:type="dxa" w:w="3060"/>
            <w:vAlign w:val="center"/>
            <w:shd w:fill="F5F5F5"/>
          </w:tcPr>
          <w:p>
            <w:pPr>
              <w:spacing w:before="60" w:after="60"/>
              <w:jc w:val="center"/>
            </w:pPr>
            <w:r>
              <w:rPr>
                <w:rFonts w:ascii="仿宋_GB2312" w:hAnsi="仿宋_GB2312" w:eastAsia="仿宋_GB2312"/>
                <w:sz w:val="28"/>
              </w:rPr>
              <w:t>政策性业务，数据分析</w:t>
            </w:r>
          </w:p>
        </w:tc>
      </w:tr>
      <w:tr>
        <w:tc>
          <w:tcPr>
            <w:tcW w:type="dxa" w:w="3060"/>
            <w:vAlign w:val="center"/>
          </w:tcPr>
          <w:p>
            <w:pPr>
              <w:spacing w:before="60" w:after="60"/>
              <w:jc w:val="center"/>
            </w:pPr>
            <w:r>
              <w:rPr>
                <w:rFonts w:ascii="仿宋_GB2312" w:hAnsi="仿宋_GB2312" w:eastAsia="仿宋_GB2312"/>
                <w:b/>
                <w:sz w:val="28"/>
              </w:rPr>
              <w:t>绿色保险/新能源</w:t>
            </w:r>
          </w:p>
        </w:tc>
        <w:tc>
          <w:tcPr>
            <w:tcW w:type="dxa" w:w="3060"/>
            <w:vAlign w:val="center"/>
          </w:tcPr>
          <w:p>
            <w:pPr>
              <w:spacing w:before="60" w:after="60"/>
              <w:jc w:val="center"/>
            </w:pPr>
            <w:r>
              <w:rPr>
                <w:rFonts w:ascii="仿宋_GB2312" w:hAnsi="仿宋_GB2312" w:eastAsia="仿宋_GB2312"/>
                <w:sz w:val="28"/>
              </w:rPr>
              <w:t>再、中再、瑞再</w:t>
            </w:r>
          </w:p>
        </w:tc>
        <w:tc>
          <w:tcPr>
            <w:tcW w:type="dxa" w:w="3060"/>
            <w:vAlign w:val="center"/>
          </w:tcPr>
          <w:p>
            <w:pPr>
              <w:spacing w:before="60" w:after="60"/>
              <w:jc w:val="center"/>
            </w:pPr>
            <w:r>
              <w:rPr>
                <w:rFonts w:ascii="仿宋_GB2312" w:hAnsi="仿宋_GB2312" w:eastAsia="仿宋_GB2312"/>
                <w:sz w:val="28"/>
              </w:rPr>
              <w:t>新兴领域，先发优势</w:t>
            </w:r>
          </w:p>
        </w:tc>
      </w:tr>
      <w:tr>
        <w:tc>
          <w:tcPr>
            <w:tcW w:type="dxa" w:w="3060"/>
            <w:vAlign w:val="center"/>
            <w:shd w:fill="F5F5F5"/>
          </w:tcPr>
          <w:p>
            <w:pPr>
              <w:spacing w:before="60" w:after="60"/>
              <w:jc w:val="center"/>
            </w:pPr>
            <w:r>
              <w:rPr>
                <w:rFonts w:ascii="仿宋_GB2312" w:hAnsi="仿宋_GB2312" w:eastAsia="仿宋_GB2312"/>
                <w:b/>
                <w:sz w:val="28"/>
              </w:rPr>
              <w:t>科技创新保险</w:t>
            </w:r>
          </w:p>
        </w:tc>
        <w:tc>
          <w:tcPr>
            <w:tcW w:type="dxa" w:w="3060"/>
            <w:vAlign w:val="center"/>
            <w:shd w:fill="F5F5F5"/>
          </w:tcPr>
          <w:p>
            <w:pPr>
              <w:spacing w:before="60" w:after="60"/>
              <w:jc w:val="center"/>
            </w:pPr>
            <w:r>
              <w:rPr>
                <w:rFonts w:ascii="仿宋_GB2312" w:hAnsi="仿宋_GB2312" w:eastAsia="仿宋_GB2312"/>
                <w:sz w:val="28"/>
              </w:rPr>
              <w:t>前海、慕再、中再</w:t>
            </w:r>
          </w:p>
        </w:tc>
        <w:tc>
          <w:tcPr>
            <w:tcW w:type="dxa" w:w="3060"/>
            <w:vAlign w:val="center"/>
            <w:shd w:fill="F5F5F5"/>
          </w:tcPr>
          <w:p>
            <w:pPr>
              <w:spacing w:before="60" w:after="60"/>
              <w:jc w:val="center"/>
            </w:pPr>
            <w:r>
              <w:rPr>
                <w:rFonts w:ascii="仿宋_GB2312" w:hAnsi="仿宋_GB2312" w:eastAsia="仿宋_GB2312"/>
                <w:sz w:val="28"/>
              </w:rPr>
              <w:t>新兴领域，标准未形成</w:t>
            </w:r>
          </w:p>
        </w:tc>
      </w:tr>
    </w:tbl>
    <w:p/>
    <w:p>
      <w:pPr>
        <w:spacing w:line="360" w:lineRule="auto" w:before="240" w:after="120"/>
        <w:ind w:firstLine="420"/>
        <w:jc w:val="left"/>
      </w:pPr>
      <w:r>
        <w:rPr>
          <w:rFonts w:ascii="楷体" w:hAnsi="楷体" w:eastAsia="楷体"/>
          <w:b/>
          <w:sz w:val="32"/>
        </w:rPr>
        <w:t>4.3 潜在变化因素</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上海再保险中心建设</w:t>
      </w:r>
      <w:r>
        <w:rPr>
          <w:rFonts w:ascii="仿宋_GB2312" w:hAnsi="仿宋_GB2312" w:eastAsia="仿宋_GB2312"/>
          <w:sz w:val="32"/>
        </w:rPr>
        <w:t>若加速，将吸引国际再保险机构扩大在华布局【附件5】</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巨灾保险立法</w:t>
      </w:r>
      <w:r>
        <w:rPr>
          <w:rFonts w:ascii="仿宋_GB2312" w:hAnsi="仿宋_GB2312" w:eastAsia="仿宋_GB2312"/>
          <w:sz w:val="32"/>
        </w:rPr>
        <w:t>若取得突破，将释放巨额的财产险再保险需求【附件6】</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"一带一路"</w:t>
      </w:r>
      <w:r>
        <w:rPr>
          <w:rFonts w:ascii="仿宋_GB2312" w:hAnsi="仿宋_GB2312" w:eastAsia="仿宋_GB2312"/>
          <w:sz w:val="32"/>
        </w:rPr>
        <w:t>下一阶段政策力度直接影响再保险海外业务增速【附件3】</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IFRS17和偿二代二期</w:t>
      </w:r>
      <w:r>
        <w:rPr>
          <w:rFonts w:ascii="仿宋_GB2312" w:hAnsi="仿宋_GB2312" w:eastAsia="仿宋_GB2312"/>
          <w:sz w:val="32"/>
        </w:rPr>
        <w:t>双重约束下，再保险安排升级为"资本管理工具"【附件6】</w:t>
      </w:r>
    </w:p>
    <w:p>
      <w:pPr>
        <w:spacing w:line="360" w:lineRule="auto" w:before="240" w:after="120"/>
        <w:ind w:firstLine="420"/>
        <w:jc w:val="left"/>
      </w:pPr>
      <w:r>
        <w:rPr>
          <w:rFonts w:ascii="楷体" w:hAnsi="楷体" w:eastAsia="楷体"/>
          <w:b/>
          <w:sz w:val="32"/>
        </w:rPr>
        <w:t>4.4 未来1-3年各策略总结</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95"/>
        <w:gridCol w:w="2295"/>
        <w:gridCol w:w="2295"/>
        <w:gridCol w:w="2295"/>
      </w:tblGrid>
      <w:tr>
        <w:tc>
          <w:tcPr>
            <w:tcW w:type="dxa" w:w="2295"/>
            <w:shd w:fill="000000"/>
            <w:vAlign w:val="center"/>
          </w:tcPr>
          <w:p>
            <w:pPr>
              <w:spacing w:before="60" w:after="60"/>
              <w:jc w:val="center"/>
            </w:pPr>
            <w:r>
              <w:rPr>
                <w:rFonts w:ascii="仿宋_GB2312" w:hAnsi="仿宋_GB2312" w:eastAsia="仿宋_GB2312"/>
                <w:b/>
                <w:color w:val="FFFFFF"/>
                <w:sz w:val="28"/>
              </w:rPr>
              <w:t>公司</w:t>
            </w:r>
          </w:p>
        </w:tc>
        <w:tc>
          <w:tcPr>
            <w:tcW w:type="dxa" w:w="2295"/>
            <w:shd w:fill="000000"/>
            <w:vAlign w:val="center"/>
          </w:tcPr>
          <w:p>
            <w:pPr>
              <w:spacing w:before="60" w:after="60"/>
              <w:jc w:val="center"/>
            </w:pPr>
            <w:r>
              <w:rPr>
                <w:rFonts w:ascii="仿宋_GB2312" w:hAnsi="仿宋_GB2312" w:eastAsia="仿宋_GB2312"/>
                <w:b/>
                <w:color w:val="FFFFFF"/>
                <w:sz w:val="28"/>
              </w:rPr>
              <w:t>总体策略</w:t>
            </w:r>
          </w:p>
        </w:tc>
        <w:tc>
          <w:tcPr>
            <w:tcW w:type="dxa" w:w="2295"/>
            <w:shd w:fill="000000"/>
            <w:vAlign w:val="center"/>
          </w:tcPr>
          <w:p>
            <w:pPr>
              <w:spacing w:before="60" w:after="60"/>
              <w:jc w:val="center"/>
            </w:pPr>
            <w:r>
              <w:rPr>
                <w:rFonts w:ascii="仿宋_GB2312" w:hAnsi="仿宋_GB2312" w:eastAsia="仿宋_GB2312"/>
                <w:b/>
                <w:color w:val="FFFFFF"/>
                <w:sz w:val="28"/>
              </w:rPr>
              <w:t>核心关键词</w:t>
            </w:r>
          </w:p>
        </w:tc>
        <w:tc>
          <w:tcPr>
            <w:tcW w:type="dxa" w:w="2295"/>
            <w:shd w:fill="000000"/>
            <w:vAlign w:val="center"/>
          </w:tcPr>
          <w:p>
            <w:pPr>
              <w:spacing w:before="60" w:after="60"/>
              <w:jc w:val="center"/>
            </w:pPr>
            <w:r>
              <w:rPr>
                <w:rFonts w:ascii="仿宋_GB2312" w:hAnsi="仿宋_GB2312" w:eastAsia="仿宋_GB2312"/>
                <w:b/>
                <w:color w:val="FFFFFF"/>
                <w:sz w:val="28"/>
              </w:rPr>
              <w:t>主要增长驱动</w:t>
            </w:r>
          </w:p>
        </w:tc>
      </w:tr>
      <w:tr>
        <w:tc>
          <w:tcPr>
            <w:tcW w:type="dxa" w:w="2295"/>
            <w:vAlign w:val="center"/>
          </w:tcPr>
          <w:p>
            <w:pPr>
              <w:spacing w:before="60" w:after="60"/>
              <w:jc w:val="center"/>
            </w:pPr>
            <w:r>
              <w:rPr>
                <w:rFonts w:ascii="仿宋_GB2312" w:hAnsi="仿宋_GB2312" w:eastAsia="仿宋_GB2312"/>
                <w:b/>
                <w:sz w:val="28"/>
              </w:rPr>
              <w:t>中再集团</w:t>
            </w:r>
          </w:p>
        </w:tc>
        <w:tc>
          <w:tcPr>
            <w:tcW w:type="dxa" w:w="2295"/>
            <w:vAlign w:val="center"/>
          </w:tcPr>
          <w:p>
            <w:pPr>
              <w:spacing w:before="60" w:after="60"/>
              <w:jc w:val="center"/>
            </w:pPr>
            <w:r>
              <w:rPr>
                <w:rFonts w:ascii="仿宋_GB2312" w:hAnsi="仿宋_GB2312" w:eastAsia="仿宋_GB2312"/>
                <w:sz w:val="28"/>
              </w:rPr>
              <w:t>"全球化+科技化"双轮驱动</w:t>
            </w:r>
          </w:p>
        </w:tc>
        <w:tc>
          <w:tcPr>
            <w:tcW w:type="dxa" w:w="2295"/>
            <w:vAlign w:val="center"/>
          </w:tcPr>
          <w:p>
            <w:pPr>
              <w:spacing w:before="60" w:after="60"/>
              <w:jc w:val="center"/>
            </w:pPr>
            <w:r>
              <w:rPr>
                <w:rFonts w:ascii="仿宋_GB2312" w:hAnsi="仿宋_GB2312" w:eastAsia="仿宋_GB2312"/>
                <w:sz w:val="28"/>
              </w:rPr>
              <w:t>国家队、国际标准、一带一路</w:t>
            </w:r>
          </w:p>
        </w:tc>
        <w:tc>
          <w:tcPr>
            <w:tcW w:type="dxa" w:w="2295"/>
            <w:vAlign w:val="center"/>
          </w:tcPr>
          <w:p>
            <w:pPr>
              <w:spacing w:before="60" w:after="60"/>
              <w:jc w:val="center"/>
            </w:pPr>
            <w:r>
              <w:rPr>
                <w:rFonts w:ascii="仿宋_GB2312" w:hAnsi="仿宋_GB2312" w:eastAsia="仿宋_GB2312"/>
                <w:sz w:val="28"/>
              </w:rPr>
              <w:t>海外扩张、核保险、政策性业务</w:t>
            </w:r>
          </w:p>
        </w:tc>
      </w:tr>
      <w:tr>
        <w:tc>
          <w:tcPr>
            <w:tcW w:type="dxa" w:w="2295"/>
            <w:vAlign w:val="center"/>
            <w:shd w:fill="F5F5F5"/>
          </w:tcPr>
          <w:p>
            <w:pPr>
              <w:spacing w:before="60" w:after="60"/>
              <w:jc w:val="center"/>
            </w:pPr>
            <w:r>
              <w:rPr>
                <w:rFonts w:ascii="仿宋_GB2312" w:hAnsi="仿宋_GB2312" w:eastAsia="仿宋_GB2312"/>
                <w:b/>
                <w:sz w:val="28"/>
              </w:rPr>
              <w:t>太平再保险</w:t>
            </w:r>
          </w:p>
        </w:tc>
        <w:tc>
          <w:tcPr>
            <w:tcW w:type="dxa" w:w="2295"/>
            <w:vAlign w:val="center"/>
            <w:shd w:fill="F5F5F5"/>
          </w:tcPr>
          <w:p>
            <w:pPr>
              <w:spacing w:before="60" w:after="60"/>
              <w:jc w:val="center"/>
            </w:pPr>
            <w:r>
              <w:rPr>
                <w:rFonts w:ascii="仿宋_GB2312" w:hAnsi="仿宋_GB2312" w:eastAsia="仿宋_GB2312"/>
                <w:sz w:val="28"/>
              </w:rPr>
              <w:t>区域聚焦+跨境联动</w:t>
            </w:r>
          </w:p>
        </w:tc>
        <w:tc>
          <w:tcPr>
            <w:tcW w:type="dxa" w:w="2295"/>
            <w:vAlign w:val="center"/>
            <w:shd w:fill="F5F5F5"/>
          </w:tcPr>
          <w:p>
            <w:pPr>
              <w:spacing w:before="60" w:after="60"/>
              <w:jc w:val="center"/>
            </w:pPr>
            <w:r>
              <w:rPr>
                <w:rFonts w:ascii="仿宋_GB2312" w:hAnsi="仿宋_GB2312" w:eastAsia="仿宋_GB2312"/>
                <w:sz w:val="28"/>
              </w:rPr>
              <w:t>大湾区、东南亚、跨境服务</w:t>
            </w:r>
          </w:p>
        </w:tc>
        <w:tc>
          <w:tcPr>
            <w:tcW w:type="dxa" w:w="2295"/>
            <w:vAlign w:val="center"/>
            <w:shd w:fill="F5F5F5"/>
          </w:tcPr>
          <w:p>
            <w:pPr>
              <w:spacing w:before="60" w:after="60"/>
              <w:jc w:val="center"/>
            </w:pPr>
            <w:r>
              <w:rPr>
                <w:rFonts w:ascii="仿宋_GB2312" w:hAnsi="仿宋_GB2312" w:eastAsia="仿宋_GB2312"/>
                <w:sz w:val="28"/>
              </w:rPr>
              <w:t>区域扩张、集团协同</w:t>
            </w:r>
          </w:p>
        </w:tc>
      </w:tr>
      <w:tr>
        <w:tc>
          <w:tcPr>
            <w:tcW w:type="dxa" w:w="2295"/>
            <w:vAlign w:val="center"/>
          </w:tcPr>
          <w:p>
            <w:pPr>
              <w:spacing w:before="60" w:after="60"/>
              <w:jc w:val="center"/>
            </w:pPr>
            <w:r>
              <w:rPr>
                <w:rFonts w:ascii="仿宋_GB2312" w:hAnsi="仿宋_GB2312" w:eastAsia="仿宋_GB2312"/>
                <w:b/>
                <w:sz w:val="28"/>
              </w:rPr>
              <w:t>人保再保险</w:t>
            </w:r>
          </w:p>
        </w:tc>
        <w:tc>
          <w:tcPr>
            <w:tcW w:type="dxa" w:w="2295"/>
            <w:vAlign w:val="center"/>
          </w:tcPr>
          <w:p>
            <w:pPr>
              <w:spacing w:before="60" w:after="60"/>
              <w:jc w:val="center"/>
            </w:pPr>
            <w:r>
              <w:rPr>
                <w:rFonts w:ascii="仿宋_GB2312" w:hAnsi="仿宋_GB2312" w:eastAsia="仿宋_GB2312"/>
                <w:sz w:val="28"/>
              </w:rPr>
              <w:t>内部协同+稳步拓展</w:t>
            </w:r>
          </w:p>
        </w:tc>
        <w:tc>
          <w:tcPr>
            <w:tcW w:type="dxa" w:w="2295"/>
            <w:vAlign w:val="center"/>
          </w:tcPr>
          <w:p>
            <w:pPr>
              <w:spacing w:before="60" w:after="60"/>
              <w:jc w:val="center"/>
            </w:pPr>
            <w:r>
              <w:rPr>
                <w:rFonts w:ascii="仿宋_GB2312" w:hAnsi="仿宋_GB2312" w:eastAsia="仿宋_GB2312"/>
                <w:sz w:val="28"/>
              </w:rPr>
              <w:t>集团内再保、农险</w:t>
            </w:r>
          </w:p>
        </w:tc>
        <w:tc>
          <w:tcPr>
            <w:tcW w:type="dxa" w:w="2295"/>
            <w:vAlign w:val="center"/>
          </w:tcPr>
          <w:p>
            <w:pPr>
              <w:spacing w:before="60" w:after="60"/>
              <w:jc w:val="center"/>
            </w:pPr>
            <w:r>
              <w:rPr>
                <w:rFonts w:ascii="仿宋_GB2312" w:hAnsi="仿宋_GB2312" w:eastAsia="仿宋_GB2312"/>
                <w:sz w:val="28"/>
              </w:rPr>
              <w:t>集团资源转化、农险再保</w:t>
            </w:r>
          </w:p>
        </w:tc>
      </w:tr>
      <w:tr>
        <w:tc>
          <w:tcPr>
            <w:tcW w:type="dxa" w:w="2295"/>
            <w:vAlign w:val="center"/>
            <w:shd w:fill="F5F5F5"/>
          </w:tcPr>
          <w:p>
            <w:pPr>
              <w:spacing w:before="60" w:after="60"/>
              <w:jc w:val="center"/>
            </w:pPr>
            <w:r>
              <w:rPr>
                <w:rFonts w:ascii="仿宋_GB2312" w:hAnsi="仿宋_GB2312" w:eastAsia="仿宋_GB2312"/>
                <w:b/>
                <w:sz w:val="28"/>
              </w:rPr>
              <w:t>慕再（中国）</w:t>
            </w:r>
          </w:p>
        </w:tc>
        <w:tc>
          <w:tcPr>
            <w:tcW w:type="dxa" w:w="2295"/>
            <w:vAlign w:val="center"/>
            <w:shd w:fill="F5F5F5"/>
          </w:tcPr>
          <w:p>
            <w:pPr>
              <w:spacing w:before="60" w:after="60"/>
              <w:jc w:val="center"/>
            </w:pPr>
            <w:r>
              <w:rPr>
                <w:rFonts w:ascii="仿宋_GB2312" w:hAnsi="仿宋_GB2312" w:eastAsia="仿宋_GB2312"/>
                <w:sz w:val="28"/>
              </w:rPr>
              <w:t>技术输出+绿色创新</w:t>
            </w:r>
          </w:p>
        </w:tc>
        <w:tc>
          <w:tcPr>
            <w:tcW w:type="dxa" w:w="2295"/>
            <w:vAlign w:val="center"/>
            <w:shd w:fill="F5F5F5"/>
          </w:tcPr>
          <w:p>
            <w:pPr>
              <w:spacing w:before="60" w:after="60"/>
              <w:jc w:val="center"/>
            </w:pPr>
            <w:r>
              <w:rPr>
                <w:rFonts w:ascii="仿宋_GB2312" w:hAnsi="仿宋_GB2312" w:eastAsia="仿宋_GB2312"/>
                <w:sz w:val="28"/>
              </w:rPr>
              <w:t>巨灾模型、绿色保险、ILS</w:t>
            </w:r>
          </w:p>
        </w:tc>
        <w:tc>
          <w:tcPr>
            <w:tcW w:type="dxa" w:w="2295"/>
            <w:vAlign w:val="center"/>
            <w:shd w:fill="F5F5F5"/>
          </w:tcPr>
          <w:p>
            <w:pPr>
              <w:spacing w:before="60" w:after="60"/>
              <w:jc w:val="center"/>
            </w:pPr>
            <w:r>
              <w:rPr>
                <w:rFonts w:ascii="仿宋_GB2312" w:hAnsi="仿宋_GB2312" w:eastAsia="仿宋_GB2312"/>
                <w:sz w:val="28"/>
              </w:rPr>
              <w:t>技术本地化、绿色保险</w:t>
            </w:r>
          </w:p>
        </w:tc>
      </w:tr>
      <w:tr>
        <w:tc>
          <w:tcPr>
            <w:tcW w:type="dxa" w:w="2295"/>
            <w:vAlign w:val="center"/>
          </w:tcPr>
          <w:p>
            <w:pPr>
              <w:spacing w:before="60" w:after="60"/>
              <w:jc w:val="center"/>
            </w:pPr>
            <w:r>
              <w:rPr>
                <w:rFonts w:ascii="仿宋_GB2312" w:hAnsi="仿宋_GB2312" w:eastAsia="仿宋_GB2312"/>
                <w:b/>
                <w:sz w:val="28"/>
              </w:rPr>
              <w:t>瑞再（中国）</w:t>
            </w:r>
          </w:p>
        </w:tc>
        <w:tc>
          <w:tcPr>
            <w:tcW w:type="dxa" w:w="2295"/>
            <w:vAlign w:val="center"/>
          </w:tcPr>
          <w:p>
            <w:pPr>
              <w:spacing w:before="60" w:after="60"/>
              <w:jc w:val="center"/>
            </w:pPr>
            <w:r>
              <w:rPr>
                <w:rFonts w:ascii="仿宋_GB2312" w:hAnsi="仿宋_GB2312" w:eastAsia="仿宋_GB2312"/>
                <w:sz w:val="28"/>
              </w:rPr>
              <w:t>数据驱动+农险深耕</w:t>
            </w:r>
          </w:p>
        </w:tc>
        <w:tc>
          <w:tcPr>
            <w:tcW w:type="dxa" w:w="2295"/>
            <w:vAlign w:val="center"/>
          </w:tcPr>
          <w:p>
            <w:pPr>
              <w:spacing w:before="60" w:after="60"/>
              <w:jc w:val="center"/>
            </w:pPr>
            <w:r>
              <w:rPr>
                <w:rFonts w:ascii="仿宋_GB2312" w:hAnsi="仿宋_GB2312" w:eastAsia="仿宋_GB2312"/>
                <w:sz w:val="28"/>
              </w:rPr>
              <w:t>sigma研究、参数化、健康险</w:t>
            </w:r>
          </w:p>
        </w:tc>
        <w:tc>
          <w:tcPr>
            <w:tcW w:type="dxa" w:w="2295"/>
            <w:vAlign w:val="center"/>
          </w:tcPr>
          <w:p>
            <w:pPr>
              <w:spacing w:before="60" w:after="60"/>
              <w:jc w:val="center"/>
            </w:pPr>
            <w:r>
              <w:rPr>
                <w:rFonts w:ascii="仿宋_GB2312" w:hAnsi="仿宋_GB2312" w:eastAsia="仿宋_GB2312"/>
                <w:sz w:val="28"/>
              </w:rPr>
              <w:t>风险咨询、农业/寿险再保</w:t>
            </w:r>
          </w:p>
        </w:tc>
      </w:tr>
      <w:tr>
        <w:tc>
          <w:tcPr>
            <w:tcW w:type="dxa" w:w="2295"/>
            <w:vAlign w:val="center"/>
            <w:shd w:fill="F5F5F5"/>
          </w:tcPr>
          <w:p>
            <w:pPr>
              <w:spacing w:before="60" w:after="60"/>
              <w:jc w:val="center"/>
            </w:pPr>
            <w:r>
              <w:rPr>
                <w:rFonts w:ascii="仿宋_GB2312" w:hAnsi="仿宋_GB2312" w:eastAsia="仿宋_GB2312"/>
                <w:b/>
                <w:sz w:val="28"/>
              </w:rPr>
              <w:t>汉诺威再（中国）</w:t>
            </w:r>
          </w:p>
        </w:tc>
        <w:tc>
          <w:tcPr>
            <w:tcW w:type="dxa" w:w="2295"/>
            <w:vAlign w:val="center"/>
            <w:shd w:fill="F5F5F5"/>
          </w:tcPr>
          <w:p>
            <w:pPr>
              <w:spacing w:before="60" w:after="60"/>
              <w:jc w:val="center"/>
            </w:pPr>
            <w:r>
              <w:rPr>
                <w:rFonts w:ascii="仿宋_GB2312" w:hAnsi="仿宋_GB2312" w:eastAsia="仿宋_GB2312"/>
                <w:sz w:val="28"/>
              </w:rPr>
              <w:t>专业深耕+数字化</w:t>
            </w:r>
          </w:p>
        </w:tc>
        <w:tc>
          <w:tcPr>
            <w:tcW w:type="dxa" w:w="2295"/>
            <w:vAlign w:val="center"/>
            <w:shd w:fill="F5F5F5"/>
          </w:tcPr>
          <w:p>
            <w:pPr>
              <w:spacing w:before="60" w:after="60"/>
              <w:jc w:val="center"/>
            </w:pPr>
            <w:r>
              <w:rPr>
                <w:rFonts w:ascii="仿宋_GB2312" w:hAnsi="仿宋_GB2312" w:eastAsia="仿宋_GB2312"/>
                <w:sz w:val="28"/>
              </w:rPr>
              <w:t>寿险再保险、数字化核保</w:t>
            </w:r>
          </w:p>
        </w:tc>
        <w:tc>
          <w:tcPr>
            <w:tcW w:type="dxa" w:w="2295"/>
            <w:vAlign w:val="center"/>
            <w:shd w:fill="F5F5F5"/>
          </w:tcPr>
          <w:p>
            <w:pPr>
              <w:spacing w:before="60" w:after="60"/>
              <w:jc w:val="center"/>
            </w:pPr>
            <w:r>
              <w:rPr>
                <w:rFonts w:ascii="仿宋_GB2312" w:hAnsi="仿宋_GB2312" w:eastAsia="仿宋_GB2312"/>
                <w:sz w:val="28"/>
              </w:rPr>
              <w:t>保障型寿险、IFRS17机遇</w:t>
            </w:r>
          </w:p>
        </w:tc>
      </w:tr>
      <w:tr>
        <w:tc>
          <w:tcPr>
            <w:tcW w:type="dxa" w:w="2295"/>
            <w:vAlign w:val="center"/>
          </w:tcPr>
          <w:p>
            <w:pPr>
              <w:spacing w:before="60" w:after="60"/>
              <w:jc w:val="center"/>
            </w:pPr>
            <w:r>
              <w:rPr>
                <w:rFonts w:ascii="仿宋_GB2312" w:hAnsi="仿宋_GB2312" w:eastAsia="仿宋_GB2312"/>
                <w:b/>
                <w:sz w:val="28"/>
              </w:rPr>
              <w:t>前海再保险</w:t>
            </w:r>
          </w:p>
        </w:tc>
        <w:tc>
          <w:tcPr>
            <w:tcW w:type="dxa" w:w="2295"/>
            <w:vAlign w:val="center"/>
          </w:tcPr>
          <w:p>
            <w:pPr>
              <w:spacing w:before="60" w:after="60"/>
              <w:jc w:val="center"/>
            </w:pPr>
            <w:r>
              <w:rPr>
                <w:rFonts w:ascii="仿宋_GB2312" w:hAnsi="仿宋_GB2312" w:eastAsia="仿宋_GB2312"/>
                <w:sz w:val="28"/>
              </w:rPr>
              <w:t>差异化+科技赋能</w:t>
            </w:r>
          </w:p>
        </w:tc>
        <w:tc>
          <w:tcPr>
            <w:tcW w:type="dxa" w:w="2295"/>
            <w:vAlign w:val="center"/>
          </w:tcPr>
          <w:p>
            <w:pPr>
              <w:spacing w:before="60" w:after="60"/>
              <w:jc w:val="center"/>
            </w:pPr>
            <w:r>
              <w:rPr>
                <w:rFonts w:ascii="仿宋_GB2312" w:hAnsi="仿宋_GB2312" w:eastAsia="仿宋_GB2312"/>
                <w:sz w:val="28"/>
              </w:rPr>
              <w:t>中小险企、普惠、大湾区</w:t>
            </w:r>
          </w:p>
        </w:tc>
        <w:tc>
          <w:tcPr>
            <w:tcW w:type="dxa" w:w="2295"/>
            <w:vAlign w:val="center"/>
          </w:tcPr>
          <w:p>
            <w:pPr>
              <w:spacing w:before="60" w:after="60"/>
              <w:jc w:val="center"/>
            </w:pPr>
            <w:r>
              <w:rPr>
                <w:rFonts w:ascii="仿宋_GB2312" w:hAnsi="仿宋_GB2312" w:eastAsia="仿宋_GB2312"/>
                <w:sz w:val="28"/>
              </w:rPr>
              <w:t>差异化服务、互联网保险</w:t>
            </w:r>
          </w:p>
        </w:tc>
      </w:tr>
    </w:tbl>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五、关键战略洞察</w:t>
      </w:r>
    </w:p>
    <w:p>
      <w:pPr>
        <w:spacing w:line="360" w:lineRule="auto" w:before="240" w:after="120"/>
        <w:ind w:firstLine="420"/>
        <w:jc w:val="left"/>
      </w:pPr>
      <w:r>
        <w:rPr>
          <w:rFonts w:ascii="楷体" w:hAnsi="楷体" w:eastAsia="楷体"/>
          <w:b/>
          <w:sz w:val="32"/>
        </w:rPr>
        <w:t>5.1 中再集团战略启示</w:t>
      </w:r>
    </w:p>
    <w:p>
      <w:pPr>
        <w:spacing w:line="360" w:lineRule="auto"/>
        <w:ind w:firstLine="420"/>
        <w:jc w:val="both"/>
      </w:pPr>
      <w:r>
        <w:rPr>
          <w:rFonts w:ascii="仿宋_GB2312" w:hAnsi="仿宋_GB2312" w:eastAsia="仿宋_GB2312"/>
          <w:sz w:val="32"/>
        </w:rPr>
        <w:t xml:space="preserve">中再集团从"五个突破"战略可以判断，其正从传统再保险向 </w:t>
      </w:r>
      <w:r>
        <w:rPr>
          <w:rFonts w:ascii="仿宋_GB2312" w:hAnsi="仿宋_GB2312" w:eastAsia="仿宋_GB2312"/>
          <w:b/>
          <w:sz w:val="32"/>
        </w:rPr>
        <w:t>"保险+科技+服务"综合方案</w:t>
      </w:r>
      <w:r>
        <w:rPr>
          <w:rFonts w:ascii="仿宋_GB2312" w:hAnsi="仿宋_GB2312" w:eastAsia="仿宋_GB2312"/>
          <w:sz w:val="32"/>
        </w:rPr>
        <w:t xml:space="preserve"> 转型【附件1】。国际化已进入 </w:t>
      </w:r>
      <w:r>
        <w:rPr>
          <w:rFonts w:ascii="仿宋_GB2312" w:hAnsi="仿宋_GB2312" w:eastAsia="仿宋_GB2312"/>
          <w:b/>
          <w:sz w:val="32"/>
        </w:rPr>
        <w:t>"收获期"</w:t>
      </w:r>
      <w:r>
        <w:rPr>
          <w:rFonts w:ascii="仿宋_GB2312" w:hAnsi="仿宋_GB2312" w:eastAsia="仿宋_GB2312"/>
          <w:sz w:val="32"/>
        </w:rPr>
        <w:t>（所有海外平台均实现承保盈利）而非单纯投入期【附件1】。科技数字化和业务模式转型并列为战略核心【附件1】。</w:t>
      </w:r>
    </w:p>
    <w:p>
      <w:pPr>
        <w:spacing w:line="360" w:lineRule="auto" w:before="240" w:after="120"/>
        <w:ind w:firstLine="420"/>
        <w:jc w:val="left"/>
      </w:pPr>
      <w:r>
        <w:rPr>
          <w:rFonts w:ascii="楷体" w:hAnsi="楷体" w:eastAsia="楷体"/>
          <w:b/>
          <w:sz w:val="32"/>
        </w:rPr>
        <w:t>5.2 外资再保险战略启示</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技术输出</w:t>
      </w:r>
      <w:r>
        <w:rPr>
          <w:rFonts w:ascii="仿宋_GB2312" w:hAnsi="仿宋_GB2312" w:eastAsia="仿宋_GB2312"/>
          <w:sz w:val="32"/>
        </w:rPr>
        <w:t>是外资在华核心武器（巨灾模型、精算工具、风控系统）</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b/>
          <w:sz w:val="32"/>
        </w:rPr>
        <w:t>绿色保险</w:t>
      </w:r>
      <w:r>
        <w:rPr>
          <w:rFonts w:ascii="仿宋_GB2312" w:hAnsi="仿宋_GB2312" w:eastAsia="仿宋_GB2312"/>
          <w:sz w:val="32"/>
        </w:rPr>
        <w:t>和</w:t>
      </w:r>
      <w:r>
        <w:rPr>
          <w:rFonts w:ascii="仿宋_GB2312" w:hAnsi="仿宋_GB2312" w:eastAsia="仿宋_GB2312"/>
          <w:b/>
          <w:sz w:val="32"/>
        </w:rPr>
        <w:t>气候变化风险</w:t>
      </w:r>
      <w:r>
        <w:rPr>
          <w:rFonts w:ascii="仿宋_GB2312" w:hAnsi="仿宋_GB2312" w:eastAsia="仿宋_GB2312"/>
          <w:sz w:val="32"/>
        </w:rPr>
        <w:t>成为新的竞争焦点</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外资头部机构积极参与中国</w:t>
      </w:r>
      <w:r>
        <w:rPr>
          <w:rFonts w:ascii="仿宋_GB2312" w:hAnsi="仿宋_GB2312" w:eastAsia="仿宋_GB2312"/>
          <w:b/>
          <w:sz w:val="32"/>
        </w:rPr>
        <w:t>政策性再保险</w:t>
      </w:r>
      <w:r>
        <w:rPr>
          <w:rFonts w:ascii="仿宋_GB2312" w:hAnsi="仿宋_GB2312" w:eastAsia="仿宋_GB2312"/>
          <w:sz w:val="32"/>
        </w:rPr>
        <w:t>（农业、巨灾）</w:t>
      </w:r>
    </w:p>
    <w:p>
      <w:pPr>
        <w:spacing w:line="360" w:lineRule="auto" w:before="40" w:after="40"/>
        <w:ind w:left="567" w:hanging="283"/>
      </w:pPr>
      <w:r>
        <w:rPr>
          <w:rFonts w:ascii="仿宋_GB2312" w:hAnsi="仿宋_GB2312" w:eastAsia="仿宋_GB2312"/>
          <w:sz w:val="32"/>
        </w:rPr>
        <w:t xml:space="preserve">• </w:t>
      </w:r>
      <w:r>
        <w:rPr>
          <w:rFonts w:ascii="仿宋_GB2312" w:hAnsi="仿宋_GB2312" w:eastAsia="仿宋_GB2312"/>
          <w:sz w:val="32"/>
        </w:rPr>
        <w:t>IFRS17实施带来</w:t>
      </w:r>
      <w:r>
        <w:rPr>
          <w:rFonts w:ascii="仿宋_GB2312" w:hAnsi="仿宋_GB2312" w:eastAsia="仿宋_GB2312"/>
          <w:b/>
          <w:sz w:val="32"/>
        </w:rPr>
        <w:t>再保险技术咨询需求</w:t>
      </w:r>
      <w:r>
        <w:rPr>
          <w:rFonts w:ascii="仿宋_GB2312" w:hAnsi="仿宋_GB2312" w:eastAsia="仿宋_GB2312"/>
          <w:sz w:val="32"/>
        </w:rPr>
        <w:t>，各均将受益</w:t>
      </w:r>
    </w:p>
    <w:p>
      <w:pPr>
        <w:spacing w:line="360" w:lineRule="auto" w:before="240" w:after="120"/>
        <w:ind w:firstLine="420"/>
        <w:jc w:val="left"/>
      </w:pPr>
      <w:r>
        <w:rPr>
          <w:rFonts w:ascii="楷体" w:hAnsi="楷体" w:eastAsia="楷体"/>
          <w:b/>
          <w:sz w:val="32"/>
        </w:rPr>
        <w:t>5.3 行业趋势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再保险需求结构化增长</w:t>
      </w:r>
      <w:r>
        <w:rPr>
          <w:rFonts w:ascii="仿宋_GB2312" w:hAnsi="仿宋_GB2312" w:eastAsia="仿宋_GB2312"/>
          <w:sz w:val="32"/>
        </w:rPr>
        <w:t>：新能源汽车、绿色能源、网络安全、长寿风险等新型风险驱动</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资本管理精细化</w:t>
      </w:r>
      <w:r>
        <w:rPr>
          <w:rFonts w:ascii="仿宋_GB2312" w:hAnsi="仿宋_GB2312" w:eastAsia="仿宋_GB2312"/>
          <w:sz w:val="32"/>
        </w:rPr>
        <w:t>：偿二代+IFRS17双重约束，再保险从"财务工具"升级为"资本管理工具"</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数据资产化</w:t>
      </w:r>
      <w:r>
        <w:rPr>
          <w:rFonts w:ascii="仿宋_GB2312" w:hAnsi="仿宋_GB2312" w:eastAsia="仿宋_GB2312"/>
          <w:sz w:val="32"/>
        </w:rPr>
        <w:t>：拥有优质数据和分析能力的再保险公司将在定价和承保中占据绝对优势</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平台化趋势</w:t>
      </w:r>
      <w:r>
        <w:rPr>
          <w:rFonts w:ascii="仿宋_GB2312" w:hAnsi="仿宋_GB2312" w:eastAsia="仿宋_GB2312"/>
          <w:sz w:val="32"/>
        </w:rPr>
        <w:t>：再保险交易平台（上海国际再保险中心数字化平台等）将改变传统业务模式【附件5】</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六、结论与展望</w:t>
      </w:r>
    </w:p>
    <w:p>
      <w:pPr>
        <w:spacing w:line="360" w:lineRule="auto" w:before="240" w:after="120"/>
        <w:ind w:firstLine="420"/>
        <w:jc w:val="left"/>
      </w:pPr>
      <w:r>
        <w:rPr>
          <w:rFonts w:ascii="楷体" w:hAnsi="楷体" w:eastAsia="楷体"/>
          <w:b/>
          <w:sz w:val="32"/>
        </w:rPr>
        <w:t>6.1 市场总体判断</w:t>
      </w:r>
    </w:p>
    <w:p>
      <w:pPr>
        <w:spacing w:line="360" w:lineRule="auto"/>
        <w:ind w:firstLine="420"/>
        <w:jc w:val="both"/>
      </w:pPr>
      <w:r>
        <w:rPr>
          <w:rFonts w:ascii="仿宋_GB2312" w:hAnsi="仿宋_GB2312" w:eastAsia="仿宋_GB2312"/>
          <w:sz w:val="32"/>
        </w:rPr>
        <w:t xml:space="preserve">中国再保险市场在未来1-3年将呈现 </w:t>
      </w:r>
      <w:r>
        <w:rPr>
          <w:rFonts w:ascii="仿宋_GB2312" w:hAnsi="仿宋_GB2312" w:eastAsia="仿宋_GB2312"/>
          <w:b/>
          <w:sz w:val="32"/>
        </w:rPr>
        <w:t>"一超多强、多元发展"</w:t>
      </w:r>
      <w:r>
        <w:rPr>
          <w:rFonts w:ascii="仿宋_GB2312" w:hAnsi="仿宋_GB2312" w:eastAsia="仿宋_GB2312"/>
          <w:sz w:val="32"/>
        </w:rPr>
        <w:t xml:space="preserve"> 格局：</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中再集团</w:t>
      </w:r>
      <w:r>
        <w:rPr>
          <w:rFonts w:ascii="仿宋_GB2312" w:hAnsi="仿宋_GB2312" w:eastAsia="仿宋_GB2312"/>
          <w:sz w:val="32"/>
        </w:rPr>
        <w:t>凭借国家政策支持和先发优势，继续主导市场——目标是从境内龙头升级为</w:t>
      </w:r>
      <w:r>
        <w:rPr>
          <w:rFonts w:ascii="仿宋_GB2312" w:hAnsi="仿宋_GB2312" w:eastAsia="仿宋_GB2312"/>
          <w:b/>
          <w:sz w:val="32"/>
        </w:rPr>
        <w:t>全球重要再保险集团</w:t>
      </w:r>
      <w:r>
        <w:rPr>
          <w:rFonts w:ascii="仿宋_GB2312" w:hAnsi="仿宋_GB2312" w:eastAsia="仿宋_GB2312"/>
          <w:sz w:val="32"/>
        </w:rPr>
        <w:t>【附件1】【附件4】</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国有新兴力量</w:t>
      </w:r>
      <w:r>
        <w:rPr>
          <w:rFonts w:ascii="仿宋_GB2312" w:hAnsi="仿宋_GB2312" w:eastAsia="仿宋_GB2312"/>
          <w:sz w:val="32"/>
        </w:rPr>
        <w:t>（太平再、人保再）利用集团背景争夺市场份额【附件10】</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外资再保险</w:t>
      </w:r>
      <w:r>
        <w:rPr>
          <w:rFonts w:ascii="仿宋_GB2312" w:hAnsi="仿宋_GB2312" w:eastAsia="仿宋_GB2312"/>
          <w:sz w:val="32"/>
        </w:rPr>
        <w:t>凭借技术和品牌优势，在高端细分市场（巨灾、寿险再保、绿色保险）占据主导【附件7-9】</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差异化竞争者</w:t>
      </w:r>
      <w:r>
        <w:rPr>
          <w:rFonts w:ascii="仿宋_GB2312" w:hAnsi="仿宋_GB2312" w:eastAsia="仿宋_GB2312"/>
          <w:sz w:val="32"/>
        </w:rPr>
        <w:t>（前海再等）在中小险企和互联网保险领域寻找机会【附件11】</w:t>
      </w:r>
    </w:p>
    <w:p>
      <w:pPr>
        <w:spacing w:line="360" w:lineRule="auto" w:before="240" w:after="120"/>
        <w:ind w:firstLine="420"/>
        <w:jc w:val="left"/>
      </w:pPr>
      <w:r>
        <w:rPr>
          <w:rFonts w:ascii="楷体" w:hAnsi="楷体" w:eastAsia="楷体"/>
          <w:b/>
          <w:sz w:val="32"/>
        </w:rPr>
        <w:t>6.2 三大重点关注趋势</w:t>
      </w:r>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未来1-3年再保险市场最值得关注的三大趋势：</w:t>
      </w:r>
      <w:r>
        <w:rPr>
          <w:rFonts w:ascii="仿宋_GB2312" w:hAnsi="仿宋_GB2312" w:eastAsia="仿宋_GB2312"/>
          <w:sz w:val="32"/>
        </w:rPr>
        <w:t xml:space="preserve">  </w:t>
      </w:r>
      <w:r>
        <w:rPr>
          <w:rFonts w:ascii="仿宋_GB2312" w:hAnsi="仿宋_GB2312" w:eastAsia="仿宋_GB2312"/>
          <w:b/>
          <w:sz w:val="32"/>
        </w:rPr>
        <w:t>趋势一：中再集团国际化2.0</w:t>
      </w:r>
      <w:r>
        <w:rPr>
          <w:rFonts w:ascii="仿宋_GB2312" w:hAnsi="仿宋_GB2312" w:eastAsia="仿宋_GB2312"/>
          <w:sz w:val="32"/>
        </w:rPr>
        <w:t xml:space="preserve">——从国内龙头向全球重要再保险集团的质变（境外保费占比18.2%，11国网络，所有海外平台盈利）【附件1】【附件2】  </w:t>
      </w:r>
      <w:r>
        <w:rPr>
          <w:rFonts w:ascii="仿宋_GB2312" w:hAnsi="仿宋_GB2312" w:eastAsia="仿宋_GB2312"/>
          <w:b/>
          <w:sz w:val="32"/>
        </w:rPr>
        <w:t>趋势二：外资再保险本土化2.0</w:t>
      </w:r>
      <w:r>
        <w:rPr>
          <w:rFonts w:ascii="仿宋_GB2312" w:hAnsi="仿宋_GB2312" w:eastAsia="仿宋_GB2312"/>
          <w:sz w:val="32"/>
        </w:rPr>
        <w:t xml:space="preserve">——从"技术输入"到"本地创新"的演进（绿色保险、参数化保险、数字化核保等本土化）【附件7】【附件8】  </w:t>
      </w:r>
      <w:r>
        <w:rPr>
          <w:rFonts w:ascii="仿宋_GB2312" w:hAnsi="仿宋_GB2312" w:eastAsia="仿宋_GB2312"/>
          <w:b/>
          <w:sz w:val="32"/>
        </w:rPr>
        <w:t>三：再保险科技化</w:t>
      </w:r>
      <w:r>
        <w:rPr>
          <w:rFonts w:ascii="仿宋_GB2312" w:hAnsi="仿宋_GB2312" w:eastAsia="仿宋_GB2312"/>
          <w:sz w:val="32"/>
        </w:rPr>
        <w:t>——AI+大数据从辅助工具向核心竞争力的升级数字化转型是各公司共同战略方向）【附件1】【附件9】</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七、信息出处索引</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编号</w:t>
            </w:r>
          </w:p>
        </w:tc>
        <w:tc>
          <w:tcPr>
            <w:tcW w:type="dxa" w:w="3060"/>
            <w:shd w:fill="000000"/>
            <w:vAlign w:val="center"/>
          </w:tcPr>
          <w:p>
            <w:pPr>
              <w:spacing w:before="60" w:after="60"/>
              <w:jc w:val="center"/>
            </w:pPr>
            <w:r>
              <w:rPr>
                <w:rFonts w:ascii="仿宋_GB2312" w:hAnsi="仿宋_GB2312" w:eastAsia="仿宋_GB2312"/>
                <w:b/>
                <w:color w:val="FFFFFF"/>
                <w:sz w:val="28"/>
              </w:rPr>
              <w:t>附件名称</w:t>
            </w:r>
          </w:p>
        </w:tc>
        <w:tc>
          <w:tcPr>
            <w:tcW w:type="dxa" w:w="3060"/>
            <w:shd w:fill="000000"/>
            <w:vAlign w:val="center"/>
          </w:tcPr>
          <w:p>
            <w:pPr>
              <w:spacing w:before="60" w:after="60"/>
              <w:jc w:val="center"/>
            </w:pPr>
            <w:r>
              <w:rPr>
                <w:rFonts w:ascii="仿宋_GB2312" w:hAnsi="仿宋_GB2312" w:eastAsia="仿宋_GB2312"/>
                <w:b/>
                <w:color w:val="FFFFFF"/>
                <w:sz w:val="28"/>
              </w:rPr>
              <w:t>类型</w:t>
            </w:r>
          </w:p>
        </w:tc>
      </w:tr>
      <w:tr>
        <w:tc>
          <w:tcPr>
            <w:tcW w:type="dxa" w:w="3060"/>
            <w:vAlign w:val="center"/>
          </w:tcPr>
          <w:p>
            <w:pPr>
              <w:spacing w:before="60" w:after="60"/>
              <w:jc w:val="center"/>
            </w:pPr>
            <w:r>
              <w:rPr>
                <w:rFonts w:ascii="仿宋_GB2312" w:hAnsi="仿宋_GB2312" w:eastAsia="仿宋_GB2312"/>
                <w:b/>
                <w:sz w:val="28"/>
              </w:rPr>
              <w:t>【附件1】</w:t>
            </w:r>
          </w:p>
        </w:tc>
        <w:tc>
          <w:tcPr>
            <w:tcW w:type="dxa" w:w="3060"/>
            <w:vAlign w:val="center"/>
          </w:tcPr>
          <w:p>
            <w:pPr>
              <w:spacing w:before="60" w:after="60"/>
              <w:jc w:val="center"/>
            </w:pPr>
            <w:r>
              <w:rPr>
                <w:rFonts w:ascii="仿宋_GB2312" w:hAnsi="仿宋_GB2312" w:eastAsia="仿宋_GB2312"/>
                <w:sz w:val="28"/>
              </w:rPr>
              <w:t>中再集团官网-2026年党建和经营管理工作会议</w:t>
            </w:r>
          </w:p>
        </w:tc>
        <w:tc>
          <w:tcPr>
            <w:tcW w:type="dxa" w:w="3060"/>
            <w:vAlign w:val="center"/>
          </w:tcPr>
          <w:p>
            <w:pPr>
              <w:spacing w:before="60" w:after="60"/>
              <w:jc w:val="center"/>
            </w:pPr>
            <w:r>
              <w:rPr>
                <w:rFonts w:ascii="仿宋_GB2312" w:hAnsi="仿宋_GB2312" w:eastAsia="仿宋_GB2312"/>
                <w:sz w:val="28"/>
              </w:rPr>
              <w:t>一手官网信息</w:t>
            </w:r>
          </w:p>
        </w:tc>
      </w:tr>
      <w:tr>
        <w:tc>
          <w:tcPr>
            <w:tcW w:type="dxa" w:w="3060"/>
            <w:vAlign w:val="center"/>
            <w:shd w:fill="F5F5F5"/>
          </w:tcPr>
          <w:p>
            <w:pPr>
              <w:spacing w:before="60" w:after="60"/>
              <w:jc w:val="center"/>
            </w:pPr>
            <w:r>
              <w:rPr>
                <w:rFonts w:ascii="仿宋_GB2312" w:hAnsi="仿宋_GB2312" w:eastAsia="仿宋_GB2312"/>
                <w:b/>
                <w:sz w:val="28"/>
              </w:rPr>
              <w:t>【附件2】</w:t>
            </w:r>
          </w:p>
        </w:tc>
        <w:tc>
          <w:tcPr>
            <w:tcW w:type="dxa" w:w="3060"/>
            <w:vAlign w:val="center"/>
            <w:shd w:fill="F5F5F5"/>
          </w:tcPr>
          <w:p>
            <w:pPr>
              <w:spacing w:before="60" w:after="60"/>
              <w:jc w:val="center"/>
            </w:pPr>
            <w:r>
              <w:rPr>
                <w:rFonts w:ascii="仿宋_GB2312" w:hAnsi="仿宋_GB2312" w:eastAsia="仿宋_GB2312"/>
                <w:sz w:val="28"/>
              </w:rPr>
              <w:t>中再集团官网-2025年度业绩发布会</w:t>
            </w:r>
          </w:p>
        </w:tc>
        <w:tc>
          <w:tcPr>
            <w:tcW w:type="dxa" w:w="3060"/>
            <w:vAlign w:val="center"/>
            <w:shd w:fill="F5F5F5"/>
          </w:tcPr>
          <w:p>
            <w:pPr>
              <w:spacing w:before="60" w:after="60"/>
              <w:jc w:val="center"/>
            </w:pPr>
            <w:r>
              <w:rPr>
                <w:rFonts w:ascii="仿宋_GB2312" w:hAnsi="仿宋_GB2312" w:eastAsia="仿宋_GB2312"/>
                <w:sz w:val="28"/>
              </w:rPr>
              <w:t>一手官网信息</w:t>
            </w:r>
          </w:p>
        </w:tc>
      </w:tr>
      <w:tr>
        <w:tc>
          <w:tcPr>
            <w:tcW w:type="dxa" w:w="3060"/>
            <w:vAlign w:val="center"/>
          </w:tcPr>
          <w:p>
            <w:pPr>
              <w:spacing w:before="60" w:after="60"/>
              <w:jc w:val="center"/>
            </w:pPr>
            <w:r>
              <w:rPr>
                <w:rFonts w:ascii="仿宋_GB2312" w:hAnsi="仿宋_GB2312" w:eastAsia="仿宋_GB2312"/>
                <w:b/>
                <w:sz w:val="28"/>
              </w:rPr>
              <w:t>【附件3】</w:t>
            </w:r>
          </w:p>
        </w:tc>
        <w:tc>
          <w:tcPr>
            <w:tcW w:type="dxa" w:w="3060"/>
            <w:vAlign w:val="center"/>
          </w:tcPr>
          <w:p>
            <w:pPr>
              <w:spacing w:before="60" w:after="60"/>
              <w:jc w:val="center"/>
            </w:pPr>
            <w:r>
              <w:rPr>
                <w:rFonts w:ascii="仿宋_GB2312" w:hAnsi="仿宋_GB2312" w:eastAsia="仿宋_GB2312"/>
                <w:sz w:val="28"/>
              </w:rPr>
              <w:t>中再集团官网-一带一路再保险共同体第十四次成员大会</w:t>
            </w:r>
          </w:p>
        </w:tc>
        <w:tc>
          <w:tcPr>
            <w:tcW w:type="dxa" w:w="3060"/>
            <w:vAlign w:val="center"/>
          </w:tcPr>
          <w:p>
            <w:pPr>
              <w:spacing w:before="60" w:after="60"/>
              <w:jc w:val="center"/>
            </w:pPr>
            <w:r>
              <w:rPr>
                <w:rFonts w:ascii="仿宋_GB2312" w:hAnsi="仿宋_GB2312" w:eastAsia="仿宋_GB2312"/>
                <w:sz w:val="28"/>
              </w:rPr>
              <w:t>一手官网信息</w:t>
            </w:r>
          </w:p>
        </w:tc>
      </w:tr>
      <w:tr>
        <w:tc>
          <w:tcPr>
            <w:tcW w:type="dxa" w:w="3060"/>
            <w:vAlign w:val="center"/>
            <w:shd w:fill="F5F5F5"/>
          </w:tcPr>
          <w:p>
            <w:pPr>
              <w:spacing w:before="60" w:after="60"/>
              <w:jc w:val="center"/>
            </w:pPr>
            <w:r>
              <w:rPr>
                <w:rFonts w:ascii="仿宋_GB2312" w:hAnsi="仿宋_GB2312" w:eastAsia="仿宋_GB2312"/>
                <w:b/>
                <w:sz w:val="28"/>
              </w:rPr>
              <w:t>【附件4】</w:t>
            </w:r>
          </w:p>
        </w:tc>
        <w:tc>
          <w:tcPr>
            <w:tcW w:type="dxa" w:w="3060"/>
            <w:vAlign w:val="center"/>
            <w:shd w:fill="F5F5F5"/>
          </w:tcPr>
          <w:p>
            <w:pPr>
              <w:spacing w:before="60" w:after="60"/>
              <w:jc w:val="center"/>
            </w:pPr>
            <w:r>
              <w:rPr>
                <w:rFonts w:ascii="仿宋_GB2312" w:hAnsi="仿宋_GB2312" w:eastAsia="仿宋_GB2312"/>
                <w:sz w:val="28"/>
              </w:rPr>
              <w:t>中再集团官网-庄乾志参加中国发展高层论坛2026年会</w:t>
            </w:r>
          </w:p>
        </w:tc>
        <w:tc>
          <w:tcPr>
            <w:tcW w:type="dxa" w:w="3060"/>
            <w:vAlign w:val="center"/>
            <w:shd w:fill="F5F5F5"/>
          </w:tcPr>
          <w:p>
            <w:pPr>
              <w:spacing w:before="60" w:after="60"/>
              <w:jc w:val="center"/>
            </w:pPr>
            <w:r>
              <w:rPr>
                <w:rFonts w:ascii="仿宋_GB2312" w:hAnsi="仿宋_GB2312" w:eastAsia="仿宋_GB2312"/>
                <w:sz w:val="28"/>
              </w:rPr>
              <w:t>一手官网信息</w:t>
            </w:r>
          </w:p>
        </w:tc>
      </w:tr>
      <w:tr>
        <w:tc>
          <w:tcPr>
            <w:tcW w:type="dxa" w:w="3060"/>
            <w:vAlign w:val="center"/>
          </w:tcPr>
          <w:p>
            <w:pPr>
              <w:spacing w:before="60" w:after="60"/>
              <w:jc w:val="center"/>
            </w:pPr>
            <w:r>
              <w:rPr>
                <w:rFonts w:ascii="仿宋_GB2312" w:hAnsi="仿宋_GB2312" w:eastAsia="仿宋_GB2312"/>
                <w:b/>
                <w:sz w:val="28"/>
              </w:rPr>
              <w:t>【附件5】</w:t>
            </w:r>
          </w:p>
        </w:tc>
        <w:tc>
          <w:tcPr>
            <w:tcW w:type="dxa" w:w="3060"/>
            <w:vAlign w:val="center"/>
          </w:tcPr>
          <w:p>
            <w:pPr>
              <w:spacing w:before="60" w:after="60"/>
              <w:jc w:val="center"/>
            </w:pPr>
            <w:r>
              <w:rPr>
                <w:rFonts w:ascii="仿宋_GB2312" w:hAnsi="仿宋_GB2312" w:eastAsia="仿宋_GB2312"/>
                <w:sz w:val="28"/>
              </w:rPr>
              <w:t>国务院政策文件-上海国际再保险中心建设方案</w:t>
            </w:r>
          </w:p>
        </w:tc>
        <w:tc>
          <w:tcPr>
            <w:tcW w:type="dxa" w:w="3060"/>
            <w:vAlign w:val="center"/>
          </w:tcPr>
          <w:p>
            <w:pPr>
              <w:spacing w:before="60" w:after="60"/>
              <w:jc w:val="center"/>
            </w:pPr>
            <w:r>
              <w:rPr>
                <w:rFonts w:ascii="仿宋_GB2312" w:hAnsi="仿宋_GB2312" w:eastAsia="仿宋_GB2312"/>
                <w:sz w:val="28"/>
              </w:rPr>
              <w:t>政策文件</w:t>
            </w:r>
          </w:p>
        </w:tc>
      </w:tr>
      <w:tr>
        <w:tc>
          <w:tcPr>
            <w:tcW w:type="dxa" w:w="3060"/>
            <w:vAlign w:val="center"/>
            <w:shd w:fill="F5F5F5"/>
          </w:tcPr>
          <w:p>
            <w:pPr>
              <w:spacing w:before="60" w:after="60"/>
              <w:jc w:val="center"/>
            </w:pPr>
            <w:r>
              <w:rPr>
                <w:rFonts w:ascii="仿宋_GB2312" w:hAnsi="仿宋_GB2312" w:eastAsia="仿宋_GB2312"/>
                <w:b/>
                <w:sz w:val="28"/>
              </w:rPr>
              <w:t>【附件6】</w:t>
            </w:r>
          </w:p>
        </w:tc>
        <w:tc>
          <w:tcPr>
            <w:tcW w:type="dxa" w:w="3060"/>
            <w:vAlign w:val="center"/>
            <w:shd w:fill="F5F5F5"/>
          </w:tcPr>
          <w:p>
            <w:pPr>
              <w:spacing w:before="60" w:after="60"/>
              <w:jc w:val="center"/>
            </w:pPr>
            <w:r>
              <w:rPr>
                <w:rFonts w:ascii="仿宋_GB2312" w:hAnsi="仿宋_GB2312" w:eastAsia="仿宋_GB2312"/>
                <w:sz w:val="28"/>
              </w:rPr>
              <w:t>国家金融监管总局-偿二代二期工程与再保险监管</w:t>
            </w:r>
          </w:p>
        </w:tc>
        <w:tc>
          <w:tcPr>
            <w:tcW w:type="dxa" w:w="3060"/>
            <w:vAlign w:val="center"/>
            <w:shd w:fill="F5F5F5"/>
          </w:tcPr>
          <w:p>
            <w:pPr>
              <w:spacing w:before="60" w:after="60"/>
              <w:jc w:val="center"/>
            </w:pPr>
            <w:r>
              <w:rPr>
                <w:rFonts w:ascii="仿宋_GB2312" w:hAnsi="仿宋_GB2312" w:eastAsia="仿宋_GB2312"/>
                <w:sz w:val="28"/>
              </w:rPr>
              <w:t>监管政策</w:t>
            </w:r>
          </w:p>
        </w:tc>
      </w:tr>
      <w:tr>
        <w:tc>
          <w:tcPr>
            <w:tcW w:type="dxa" w:w="3060"/>
            <w:vAlign w:val="center"/>
          </w:tcPr>
          <w:p>
            <w:pPr>
              <w:spacing w:before="60" w:after="60"/>
              <w:jc w:val="center"/>
            </w:pPr>
            <w:r>
              <w:rPr>
                <w:rFonts w:ascii="仿宋_GB2312" w:hAnsi="仿宋_GB2312" w:eastAsia="仿宋_GB2312"/>
                <w:b/>
                <w:sz w:val="28"/>
              </w:rPr>
              <w:t>【附件7】</w:t>
            </w:r>
          </w:p>
        </w:tc>
        <w:tc>
          <w:tcPr>
            <w:tcW w:type="dxa" w:w="3060"/>
            <w:vAlign w:val="center"/>
          </w:tcPr>
          <w:p>
            <w:pPr>
              <w:spacing w:before="60" w:after="60"/>
              <w:jc w:val="center"/>
            </w:pPr>
            <w:r>
              <w:rPr>
                <w:rFonts w:ascii="仿宋_GB2312" w:hAnsi="仿宋_GB2312" w:eastAsia="仿宋_GB2312"/>
                <w:sz w:val="28"/>
              </w:rPr>
              <w:t>慕尼黑再保险-中国区业务概况与战略方向</w:t>
            </w:r>
          </w:p>
        </w:tc>
        <w:tc>
          <w:tcPr>
            <w:tcW w:type="dxa" w:w="3060"/>
            <w:vAlign w:val="center"/>
          </w:tcPr>
          <w:p>
            <w:pPr>
              <w:spacing w:before="60" w:after="60"/>
              <w:jc w:val="center"/>
            </w:pPr>
            <w:r>
              <w:rPr>
                <w:rFonts w:ascii="仿宋_GB2312" w:hAnsi="仿宋_GB2312" w:eastAsia="仿宋_GB2312"/>
                <w:sz w:val="28"/>
              </w:rPr>
              <w:t>企业信息+行业研报</w:t>
            </w:r>
          </w:p>
        </w:tc>
      </w:tr>
      <w:tr>
        <w:tc>
          <w:tcPr>
            <w:tcW w:type="dxa" w:w="3060"/>
            <w:vAlign w:val="center"/>
            <w:shd w:fill="F5F5F5"/>
          </w:tcPr>
          <w:p>
            <w:pPr>
              <w:spacing w:before="60" w:after="60"/>
              <w:jc w:val="center"/>
            </w:pPr>
            <w:r>
              <w:rPr>
                <w:rFonts w:ascii="仿宋_GB2312" w:hAnsi="仿宋_GB2312" w:eastAsia="仿宋_GB2312"/>
                <w:b/>
                <w:sz w:val="28"/>
              </w:rPr>
              <w:t>【附件8】</w:t>
            </w:r>
          </w:p>
        </w:tc>
        <w:tc>
          <w:tcPr>
            <w:tcW w:type="dxa" w:w="3060"/>
            <w:vAlign w:val="center"/>
            <w:shd w:fill="F5F5F5"/>
          </w:tcPr>
          <w:p>
            <w:pPr>
              <w:spacing w:before="60" w:after="60"/>
              <w:jc w:val="center"/>
            </w:pPr>
            <w:r>
              <w:rPr>
                <w:rFonts w:ascii="仿宋_GB2312" w:hAnsi="仿宋_GB2312" w:eastAsia="仿宋_GB2312"/>
                <w:sz w:val="28"/>
              </w:rPr>
              <w:t>瑞士再保险-中国区业务概况与战略方向</w:t>
            </w:r>
          </w:p>
        </w:tc>
        <w:tc>
          <w:tcPr>
            <w:tcW w:type="dxa" w:w="3060"/>
            <w:vAlign w:val="center"/>
            <w:shd w:fill="F5F5F5"/>
          </w:tcPr>
          <w:p>
            <w:pPr>
              <w:spacing w:before="60" w:after="60"/>
              <w:jc w:val="center"/>
            </w:pPr>
            <w:r>
              <w:rPr>
                <w:rFonts w:ascii="仿宋_GB2312" w:hAnsi="仿宋_GB2312" w:eastAsia="仿宋_GB2312"/>
                <w:sz w:val="28"/>
              </w:rPr>
              <w:t>企业信息+行业研报</w:t>
            </w:r>
          </w:p>
        </w:tc>
      </w:tr>
      <w:tr>
        <w:tc>
          <w:tcPr>
            <w:tcW w:type="dxa" w:w="3060"/>
            <w:vAlign w:val="center"/>
          </w:tcPr>
          <w:p>
            <w:pPr>
              <w:spacing w:before="60" w:after="60"/>
              <w:jc w:val="center"/>
            </w:pPr>
            <w:r>
              <w:rPr>
                <w:rFonts w:ascii="仿宋_GB2312" w:hAnsi="仿宋_GB2312" w:eastAsia="仿宋_GB2312"/>
                <w:b/>
                <w:sz w:val="28"/>
              </w:rPr>
              <w:t>【附件9】</w:t>
            </w:r>
          </w:p>
        </w:tc>
        <w:tc>
          <w:tcPr>
            <w:tcW w:type="dxa" w:w="3060"/>
            <w:vAlign w:val="center"/>
          </w:tcPr>
          <w:p>
            <w:pPr>
              <w:spacing w:before="60" w:after="60"/>
              <w:jc w:val="center"/>
            </w:pPr>
            <w:r>
              <w:rPr>
                <w:rFonts w:ascii="仿宋_GB2312" w:hAnsi="仿宋_GB2312" w:eastAsia="仿宋_GB2312"/>
                <w:sz w:val="28"/>
              </w:rPr>
              <w:t>汉诺威再保险-中国区业务概况与战略方向</w:t>
            </w:r>
          </w:p>
        </w:tc>
        <w:tc>
          <w:tcPr>
            <w:tcW w:type="dxa" w:w="3060"/>
            <w:vAlign w:val="center"/>
          </w:tcPr>
          <w:p>
            <w:pPr>
              <w:spacing w:before="60" w:after="60"/>
              <w:jc w:val="center"/>
            </w:pPr>
            <w:r>
              <w:rPr>
                <w:rFonts w:ascii="仿宋_GB2312" w:hAnsi="仿宋_GB2312" w:eastAsia="仿宋_GB2312"/>
                <w:sz w:val="28"/>
              </w:rPr>
              <w:t>企业信息+行业研报</w:t>
            </w:r>
          </w:p>
        </w:tc>
      </w:tr>
      <w:tr>
        <w:tc>
          <w:tcPr>
            <w:tcW w:type="dxa" w:w="3060"/>
            <w:vAlign w:val="center"/>
            <w:shd w:fill="F5F5F5"/>
          </w:tcPr>
          <w:p>
            <w:pPr>
              <w:spacing w:before="60" w:after="60"/>
              <w:jc w:val="center"/>
            </w:pPr>
            <w:r>
              <w:rPr>
                <w:rFonts w:ascii="仿宋_GB2312" w:hAnsi="仿宋_GB2312" w:eastAsia="仿宋_GB2312"/>
                <w:b/>
                <w:sz w:val="28"/>
              </w:rPr>
              <w:t>【附件10】</w:t>
            </w:r>
          </w:p>
        </w:tc>
        <w:tc>
          <w:tcPr>
            <w:tcW w:type="dxa" w:w="3060"/>
            <w:vAlign w:val="center"/>
            <w:shd w:fill="F5F5F5"/>
          </w:tcPr>
          <w:p>
            <w:pPr>
              <w:spacing w:before="60" w:after="60"/>
              <w:jc w:val="center"/>
            </w:pPr>
            <w:r>
              <w:rPr>
                <w:rFonts w:ascii="仿宋_GB2312" w:hAnsi="仿宋_GB2312" w:eastAsia="仿宋_GB2312"/>
                <w:sz w:val="28"/>
              </w:rPr>
              <w:t>太平再保险与人保再保险-业务概况与战略方向</w:t>
            </w:r>
          </w:p>
        </w:tc>
        <w:tc>
          <w:tcPr>
            <w:tcW w:type="dxa" w:w="3060"/>
            <w:vAlign w:val="center"/>
            <w:shd w:fill="F5F5F5"/>
          </w:tcPr>
          <w:p>
            <w:pPr>
              <w:spacing w:before="60" w:after="60"/>
              <w:jc w:val="center"/>
            </w:pPr>
            <w:r>
              <w:rPr>
                <w:rFonts w:ascii="仿宋_GB2312" w:hAnsi="仿宋_GB2312" w:eastAsia="仿宋_GB2312"/>
                <w:sz w:val="28"/>
              </w:rPr>
              <w:t>企业信息+年报</w:t>
            </w:r>
          </w:p>
        </w:tc>
      </w:tr>
      <w:tr>
        <w:tc>
          <w:tcPr>
            <w:tcW w:type="dxa" w:w="3060"/>
            <w:vAlign w:val="center"/>
          </w:tcPr>
          <w:p>
            <w:pPr>
              <w:spacing w:before="60" w:after="60"/>
              <w:jc w:val="center"/>
            </w:pPr>
            <w:r>
              <w:rPr>
                <w:rFonts w:ascii="仿宋_GB2312" w:hAnsi="仿宋_GB2312" w:eastAsia="仿宋_GB2312"/>
                <w:b/>
                <w:sz w:val="28"/>
              </w:rPr>
              <w:t>【附件11】</w:t>
            </w:r>
          </w:p>
        </w:tc>
        <w:tc>
          <w:tcPr>
            <w:tcW w:type="dxa" w:w="3060"/>
            <w:vAlign w:val="center"/>
          </w:tcPr>
          <w:p>
            <w:pPr>
              <w:spacing w:before="60" w:after="60"/>
              <w:jc w:val="center"/>
            </w:pPr>
            <w:r>
              <w:rPr>
                <w:rFonts w:ascii="仿宋_GB2312" w:hAnsi="仿宋_GB2312" w:eastAsia="仿宋_GB2312"/>
                <w:sz w:val="28"/>
              </w:rPr>
              <w:t>前海再保险及其他外资再保险-业务概况</w:t>
            </w:r>
          </w:p>
        </w:tc>
        <w:tc>
          <w:tcPr>
            <w:tcW w:type="dxa" w:w="3060"/>
            <w:vAlign w:val="center"/>
          </w:tcPr>
          <w:p>
            <w:pPr>
              <w:spacing w:before="60" w:after="60"/>
              <w:jc w:val="center"/>
            </w:pPr>
            <w:r>
              <w:rPr>
                <w:rFonts w:ascii="仿宋_GB2312" w:hAnsi="仿宋_GB2312" w:eastAsia="仿宋_GB2312"/>
                <w:sz w:val="28"/>
              </w:rPr>
              <w:t>企业信息+行业研报</w:t>
            </w:r>
          </w:p>
        </w:tc>
      </w:tr>
    </w:tbl>
    <w:p/>
    <w:p>
      <w:pPr>
        <w:spacing w:before="120" w:after="120"/>
        <w:jc w:val="center"/>
      </w:pPr>
      <w:r>
        <w:rPr>
          <w:rFonts w:ascii="仿宋_GB2312" w:hAnsi="仿宋_GB2312"/>
          <w:sz w:val="20"/>
        </w:rPr>
        <w:t>────────────────────────────────────────</w:t>
      </w:r>
    </w:p>
    <w:p>
      <w:pPr>
        <w:spacing w:line="360" w:lineRule="auto" w:before="120" w:after="120"/>
        <w:ind w:firstLine="420" w:left="567"/>
        <w:jc w:val="both"/>
        <w:pBdr>
          <w:left w:val="single" w:sz="18" w:space="8" w:color="000000"/>
        </w:pBdr>
        <w:shd w:fill="F9F9F9" w:val="clear"/>
      </w:pPr>
      <w:r>
        <w:rPr>
          <w:rFonts w:ascii="仿宋_GB2312" w:hAnsi="仿宋_GB2312" w:eastAsia="仿宋_GB2312"/>
          <w:b/>
          <w:sz w:val="32"/>
        </w:rPr>
        <w:t>免责声明：</w:t>
      </w:r>
      <w:r>
        <w:rPr>
          <w:rFonts w:ascii="仿宋_GB2312" w:hAnsi="仿宋_GB2312" w:eastAsia="仿宋_GB2312"/>
          <w:sz w:val="32"/>
        </w:rPr>
        <w:t xml:space="preserve"> 本报告基于公开数据和行业信息综合分析整理。各公司具体经营数据除中再集团（有据可查的公开年报数据）外，其余为基于公开信息的合理估算值，仅供参考，不构成投资建议。部分公司战略方向基于行业趋势和公开信息推断，实际经营策略以各公司官方发布为准。</w:t>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b/>
          <w:sz w:val="32"/>
        </w:rPr>
        <w:t>调研工作组</w:t>
      </w:r>
    </w:p>
    <w:p>
      <w:pPr>
        <w:spacing w:line="360" w:lineRule="auto"/>
        <w:ind w:firstLine="420"/>
        <w:jc w:val="both"/>
      </w:pPr>
      <w:r>
        <w:rPr>
          <w:rFonts w:ascii="仿宋_GB2312" w:hAnsi="仿宋_GB2312" w:eastAsia="仿宋_GB2312"/>
          <w:b/>
          <w:sz w:val="32"/>
        </w:rPr>
        <w:t>2026年4月26日</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