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附件2 中再集团官网-2025年度业绩发布会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附件2 中再集团官网-中国再保举行2025年度业绩发布会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文章内容</w:t>
      </w:r>
    </w:p>
    <w:p>
      <w:pPr>
        <w:spacing w:before="40" w:after="40"/>
      </w:pPr>
      <w:r>
        <w:rPr>
          <w:color w:val="333333"/>
          <w:sz w:val="20"/>
        </w:rPr>
        <w:t xml:space="preserve">        ▪  经营业绩数据</w:t>
      </w:r>
    </w:p>
    <w:p>
      <w:pPr>
        <w:spacing w:before="40" w:after="40"/>
      </w:pPr>
      <w:r>
        <w:rPr>
          <w:color w:val="333333"/>
          <w:sz w:val="20"/>
        </w:rPr>
        <w:t xml:space="preserve">        ▪  各业务板块净利润</w:t>
      </w:r>
    </w:p>
    <w:p>
      <w:pPr>
        <w:spacing w:before="40" w:after="40"/>
      </w:pPr>
      <w:r>
        <w:rPr>
          <w:color w:val="333333"/>
          <w:sz w:val="20"/>
        </w:rPr>
        <w:t xml:space="preserve">        ▪  偿付能力充足率</w:t>
      </w:r>
    </w:p>
    <w:p>
      <w:pPr>
        <w:spacing w:before="40" w:after="40"/>
      </w:pPr>
      <w:r>
        <w:rPr>
          <w:color w:val="333333"/>
          <w:sz w:val="20"/>
        </w:rPr>
        <w:t xml:space="preserve">        ▪  信用评级</w:t>
      </w:r>
    </w:p>
    <w:p>
      <w:pPr>
        <w:spacing w:before="40" w:after="40"/>
      </w:pPr>
      <w:r>
        <w:rPr>
          <w:color w:val="333333"/>
          <w:sz w:val="20"/>
        </w:rPr>
        <w:t xml:space="preserve">        ▪  服务国家战略</w:t>
      </w:r>
    </w:p>
    <w:p>
      <w:pPr>
        <w:spacing w:before="40" w:after="40"/>
      </w:pPr>
      <w:r>
        <w:rPr>
          <w:color w:val="333333"/>
          <w:sz w:val="20"/>
        </w:rPr>
        <w:t xml:space="preserve">        ▪  巨灾保险体系建设</w:t>
      </w:r>
    </w:p>
    <w:p>
      <w:pPr>
        <w:spacing w:before="40" w:after="40"/>
      </w:pPr>
      <w:r>
        <w:rPr>
          <w:color w:val="333333"/>
          <w:sz w:val="20"/>
        </w:rPr>
        <w:t xml:space="preserve">        ▪  "一带一路"服务</w:t>
      </w:r>
    </w:p>
    <w:p>
      <w:pPr>
        <w:spacing w:before="40" w:after="40"/>
      </w:pPr>
      <w:r>
        <w:rPr>
          <w:color w:val="333333"/>
          <w:sz w:val="20"/>
        </w:rPr>
        <w:t xml:space="preserve">        ▪  国际化经营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附件2 中再集团官网-中国再保举行2025年度业绩发布会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中国再保险（集团）股份有限公司官方网站（www.chinare.com.cn）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原始链接：</w:t>
      </w:r>
      <w:r>
        <w:rPr>
          <w:rFonts w:ascii="Arial" w:hAnsi="Arial"/>
          <w:color w:val="333333"/>
          <w:sz w:val="22"/>
        </w:rPr>
        <w:t xml:space="preserve"> https://www.chinare.com.cn/zhzjt/441147/gsxw/2026033117024511643/index.html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发布日期：</w:t>
      </w:r>
      <w:r>
        <w:rPr>
          <w:rFonts w:ascii="Arial" w:hAnsi="Arial"/>
          <w:color w:val="333333"/>
          <w:sz w:val="22"/>
        </w:rPr>
        <w:t xml:space="preserve"> 2026年3月31日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文章内容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3月31日，中国再保召开2025年度业绩发布会，庄乾董事长带领管理团队详细介绍公司2025年经营业绩、战略落地成果和未来发展举措。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经营业绩数据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2025年，中国再保坚持"发展有规模、承保增效益、投资要稳健"的经营理念，实现量的合理增长、质的有效跃升。按可比口径计算：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数值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同比变化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合并总保费收入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1,803.68亿元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创历史新高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合并保险服务收入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1,030.87亿元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归属于母公司股东净利润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97.22亿元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+38.4%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总资产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5,277.63亿元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+3.8%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每股分红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0.0691元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+38.2%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各业务板块净利润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板块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净利润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财产再保险业务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51.14亿元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43.4%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人身再保险业务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38.96亿元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33.1%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财产险直保业务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12.58亿元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10.7%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偿付能力充足率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主体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综合偿付能力充足率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集团本级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320%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中再产险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229%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中再寿险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200%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中国大地保险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279%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信用评级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集团保持标普全球评级"A"、贝氏评级"A（优秀）"，评级展望稳定。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服务国家战略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color w:val="333333"/>
          <w:sz w:val="22"/>
        </w:rPr>
        <w:t>金融"五篇大文章"风险保额达</w:t>
      </w:r>
      <w:r>
        <w:rPr>
          <w:rFonts w:ascii="Arial" w:hAnsi="Arial"/>
          <w:b/>
          <w:color w:val="333333"/>
          <w:sz w:val="22"/>
        </w:rPr>
        <w:t>87.5万亿元</w:t>
      </w:r>
      <w:r>
        <w:rPr>
          <w:rFonts w:ascii="Arial" w:hAnsi="Arial"/>
          <w:color w:val="333333"/>
          <w:sz w:val="22"/>
        </w:rPr>
        <w:t>，同比增长11%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color w:val="333333"/>
          <w:sz w:val="22"/>
        </w:rPr>
        <w:t>服务中小微企业超过</w:t>
      </w:r>
      <w:r>
        <w:rPr>
          <w:rFonts w:ascii="Arial" w:hAnsi="Arial"/>
          <w:b/>
          <w:color w:val="333333"/>
          <w:sz w:val="22"/>
        </w:rPr>
        <w:t>1,013万家</w:t>
      </w:r>
      <w:r>
        <w:rPr>
          <w:rFonts w:ascii="Arial" w:hAnsi="Arial"/>
          <w:color w:val="333333"/>
          <w:sz w:val="22"/>
        </w:rPr>
        <w:t>，同比增长31%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color w:val="333333"/>
          <w:sz w:val="22"/>
        </w:rPr>
        <w:t>普惠健康保险累计服务超过</w:t>
      </w:r>
      <w:r>
        <w:rPr>
          <w:rFonts w:ascii="Arial" w:hAnsi="Arial"/>
          <w:b/>
          <w:color w:val="333333"/>
          <w:sz w:val="22"/>
        </w:rPr>
        <w:t>3亿人次</w:t>
      </w:r>
      <w:r>
        <w:rPr>
          <w:rFonts w:ascii="Arial" w:hAnsi="Arial"/>
          <w:color w:val="333333"/>
          <w:sz w:val="22"/>
        </w:rPr>
        <w:t>，同比增长50%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color w:val="333333"/>
          <w:sz w:val="22"/>
        </w:rPr>
        <w:t>境内财产再保险和人身再保险市场份额均</w:t>
      </w:r>
      <w:r>
        <w:rPr>
          <w:rFonts w:ascii="Arial" w:hAnsi="Arial"/>
          <w:b/>
          <w:color w:val="333333"/>
          <w:sz w:val="22"/>
        </w:rPr>
        <w:t>稳居行业第一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5. </w:t>
      </w:r>
      <w:r>
        <w:rPr>
          <w:rFonts w:ascii="Arial" w:hAnsi="Arial"/>
          <w:color w:val="333333"/>
          <w:sz w:val="22"/>
        </w:rPr>
        <w:t>连续四年出版《中国再保险行业发展报告》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6. </w:t>
      </w:r>
      <w:r>
        <w:rPr>
          <w:rFonts w:ascii="Arial" w:hAnsi="Arial"/>
          <w:color w:val="333333"/>
          <w:sz w:val="22"/>
        </w:rPr>
        <w:t>在上海国际再保险中心设立3家运营中心和中再巨灾上海分公司，</w:t>
      </w:r>
      <w:r>
        <w:rPr>
          <w:rFonts w:ascii="Arial" w:hAnsi="Arial"/>
          <w:b/>
          <w:color w:val="333333"/>
          <w:sz w:val="22"/>
        </w:rPr>
        <w:t>累计交易规模和结算金额在交易中心排名均为第一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巨灾保险体系建设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支持国家全灾种综合巨灾保险模式扩面推广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深度参与</w:t>
      </w:r>
      <w:r>
        <w:rPr>
          <w:rFonts w:ascii="Arial" w:hAnsi="Arial"/>
          <w:b/>
          <w:color w:val="333333"/>
          <w:sz w:val="22"/>
        </w:rPr>
        <w:t>22个省市</w:t>
      </w:r>
      <w:r>
        <w:rPr>
          <w:rFonts w:ascii="Arial" w:hAnsi="Arial"/>
          <w:color w:val="333333"/>
          <w:sz w:val="22"/>
        </w:rPr>
        <w:t>政策性巨灾保险项目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完成中再巨灾公司增资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上线中国巨灾风险地图二期，</w:t>
      </w:r>
      <w:r>
        <w:rPr>
          <w:rFonts w:ascii="Arial" w:hAnsi="Arial"/>
          <w:b/>
          <w:color w:val="333333"/>
          <w:sz w:val="22"/>
        </w:rPr>
        <w:t>30多家</w:t>
      </w:r>
      <w:r>
        <w:rPr>
          <w:rFonts w:ascii="Arial" w:hAnsi="Arial"/>
          <w:color w:val="333333"/>
          <w:sz w:val="22"/>
        </w:rPr>
        <w:t>政企机构深度应用巨灾模型产品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成立气候风险研究中心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出台应对气候变化行动纲要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推出国内首个气候变化风险洞察平台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"一带一路"服务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中国"一带一路"再保险共同体主席单位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五年来推动共同体成员单位从</w:t>
      </w:r>
      <w:r>
        <w:rPr>
          <w:rFonts w:ascii="Arial" w:hAnsi="Arial"/>
          <w:b/>
          <w:color w:val="333333"/>
          <w:sz w:val="22"/>
        </w:rPr>
        <w:t>11家</w:t>
      </w:r>
      <w:r>
        <w:rPr>
          <w:rFonts w:ascii="Arial" w:hAnsi="Arial"/>
          <w:color w:val="333333"/>
          <w:sz w:val="22"/>
        </w:rPr>
        <w:t>发展至</w:t>
      </w:r>
      <w:r>
        <w:rPr>
          <w:rFonts w:ascii="Arial" w:hAnsi="Arial"/>
          <w:b/>
          <w:color w:val="333333"/>
          <w:sz w:val="22"/>
        </w:rPr>
        <w:t>24家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累计承保项目超过</w:t>
      </w:r>
      <w:r>
        <w:rPr>
          <w:rFonts w:ascii="Arial" w:hAnsi="Arial"/>
          <w:b/>
          <w:color w:val="333333"/>
          <w:sz w:val="22"/>
        </w:rPr>
        <w:t>230个</w:t>
      </w:r>
      <w:r>
        <w:rPr>
          <w:rFonts w:ascii="Arial" w:hAnsi="Arial"/>
          <w:color w:val="333333"/>
          <w:sz w:val="22"/>
        </w:rPr>
        <w:t>，遍及</w:t>
      </w:r>
      <w:r>
        <w:rPr>
          <w:rFonts w:ascii="Arial" w:hAnsi="Arial"/>
          <w:b/>
          <w:color w:val="333333"/>
          <w:sz w:val="22"/>
        </w:rPr>
        <w:t>43个</w:t>
      </w:r>
      <w:r>
        <w:rPr>
          <w:rFonts w:ascii="Arial" w:hAnsi="Arial"/>
          <w:color w:val="333333"/>
          <w:sz w:val="22"/>
        </w:rPr>
        <w:t>国家和地区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保障境外总资产规模超过</w:t>
      </w:r>
      <w:r>
        <w:rPr>
          <w:rFonts w:ascii="Arial" w:hAnsi="Arial"/>
          <w:b/>
          <w:color w:val="333333"/>
          <w:sz w:val="22"/>
        </w:rPr>
        <w:t>2,500亿元人民币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国际化经营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境外业务保费占集团合并总保费的比例达</w:t>
      </w:r>
      <w:r>
        <w:rPr>
          <w:rFonts w:ascii="Arial" w:hAnsi="Arial"/>
          <w:b/>
          <w:color w:val="333333"/>
          <w:sz w:val="22"/>
        </w:rPr>
        <w:t>18.2%</w:t>
      </w:r>
      <w:r>
        <w:rPr>
          <w:rFonts w:ascii="Arial" w:hAnsi="Arial"/>
          <w:color w:val="333333"/>
          <w:sz w:val="22"/>
        </w:rPr>
        <w:t>，机构网络覆盖</w:t>
      </w:r>
      <w:r>
        <w:rPr>
          <w:rFonts w:ascii="Arial" w:hAnsi="Arial"/>
          <w:b/>
          <w:color w:val="333333"/>
          <w:sz w:val="22"/>
        </w:rPr>
        <w:t>11个</w:t>
      </w:r>
      <w:r>
        <w:rPr>
          <w:rFonts w:ascii="Arial" w:hAnsi="Arial"/>
          <w:color w:val="333333"/>
          <w:sz w:val="22"/>
        </w:rPr>
        <w:t>国家和地区。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