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color w:val="1A73E8"/>
          <w:sz w:val="24"/>
        </w:rPr>
        <w:t>━━━━━━━━━━━━━━━━━━━━━━━━━━━━━━━━━━━━━━━━</w:t>
      </w:r>
    </w:p>
    <w:p>
      <w:pPr>
        <w:jc w:val="center"/>
      </w:pPr>
      <w:r>
        <w:rPr>
          <w:rFonts w:ascii="Arial" w:hAnsi="Arial" w:eastAsia="Arial"/>
          <w:b/>
          <w:color w:val="1A73E8"/>
          <w:sz w:val="56"/>
        </w:rPr>
        <w:t>附件5 国务院政策文件-上海国际再保险中心建设方案</w:t>
      </w:r>
    </w:p>
    <w:p>
      <w:pPr>
        <w:jc w:val="center"/>
      </w:pPr>
      <w:r>
        <w:rPr>
          <w:color w:val="1A73E8"/>
          <w:sz w:val="24"/>
        </w:rPr>
        <w:t>━━━━━━━━━━━━━━━━━━━━━━━━━━━━━━━━━━━━━━━━</w:t>
      </w:r>
    </w:p>
    <w:p>
      <w:pPr>
        <w:jc w:val="center"/>
      </w:pPr>
      <w:r>
        <w:rPr>
          <w:color w:val="5F6368"/>
          <w:sz w:val="24"/>
        </w:rPr>
        <w:t>By co-shell</w:t>
      </w:r>
    </w:p>
    <w:p>
      <w:pPr>
        <w:jc w:val="center"/>
      </w:pPr>
      <w:r>
        <w:rPr>
          <w:color w:val="5F6368"/>
          <w:sz w:val="22"/>
        </w:rPr>
        <w:t>April 26, 2026</w:t>
      </w:r>
    </w:p>
    <w:p>
      <w:r>
        <w:br w:type="page"/>
      </w:r>
    </w:p>
    <w:p>
      <w:pPr>
        <w:spacing w:before="0" w:after="240"/>
      </w:pPr>
      <w:r>
        <w:rPr>
          <w:b/>
          <w:color w:val="1A73E8"/>
          <w:sz w:val="36"/>
        </w:rPr>
        <w:t>Table of Contents</w:t>
      </w:r>
    </w:p>
    <w:p>
      <w:pPr>
        <w:spacing w:before="0" w:after="120"/>
      </w:pPr>
      <w:r>
        <w:rPr>
          <w:color w:val="5F6368"/>
          <w:sz w:val="16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spacing w:before="40" w:after="40"/>
      </w:pPr>
      <w:r>
        <w:rPr>
          <w:color w:val="333333"/>
          <w:sz w:val="22"/>
        </w:rPr>
        <w:t>●  附件5 国务院政策文件-上海国际再保险中心建设方案</w:t>
      </w:r>
    </w:p>
    <w:p>
      <w:pPr>
        <w:spacing w:before="40" w:after="40"/>
      </w:pPr>
      <w:r>
        <w:rPr>
          <w:color w:val="333333"/>
          <w:sz w:val="20"/>
        </w:rPr>
        <w:t xml:space="preserve">    ○  原始来源</w:t>
      </w:r>
    </w:p>
    <w:p>
      <w:pPr>
        <w:spacing w:before="40" w:after="40"/>
      </w:pPr>
      <w:r>
        <w:rPr>
          <w:color w:val="333333"/>
          <w:sz w:val="20"/>
        </w:rPr>
        <w:t xml:space="preserve">    ○  政策要点</w:t>
      </w:r>
    </w:p>
    <w:p>
      <w:pPr>
        <w:spacing w:before="40" w:after="40"/>
      </w:pPr>
      <w:r>
        <w:rPr>
          <w:color w:val="333333"/>
          <w:sz w:val="20"/>
        </w:rPr>
        <w:t xml:space="preserve">        ▪  总体目标</w:t>
      </w:r>
    </w:p>
    <w:p>
      <w:pPr>
        <w:spacing w:before="40" w:after="40"/>
      </w:pPr>
      <w:r>
        <w:rPr>
          <w:color w:val="333333"/>
          <w:sz w:val="20"/>
        </w:rPr>
        <w:t xml:space="preserve">        ▪  核心措施</w:t>
      </w:r>
    </w:p>
    <w:p>
      <w:pPr>
        <w:spacing w:before="40" w:after="40"/>
      </w:pPr>
      <w:r>
        <w:rPr>
          <w:color w:val="333333"/>
          <w:sz w:val="20"/>
        </w:rPr>
        <w:t xml:space="preserve">        ▪  政策意义</w:t>
      </w:r>
    </w:p>
    <w:p>
      <w:pPr>
        <w:spacing w:before="40" w:after="40"/>
      </w:pPr>
      <w:r>
        <w:rPr>
          <w:color w:val="333333"/>
          <w:sz w:val="20"/>
        </w:rPr>
        <w:t xml:space="preserve">        ▪  当前进展（截至2026年4月）</w:t>
      </w:r>
    </w:p>
    <w:p>
      <w:pPr>
        <w:spacing w:before="40" w:after="40"/>
      </w:pPr>
      <w:r>
        <w:rPr>
          <w:color w:val="333333"/>
          <w:sz w:val="20"/>
        </w:rPr>
        <w:t xml:space="preserve">    ○  信息出处</w:t>
      </w:r>
    </w:p>
    <w:p>
      <w:r>
        <w:br w:type="page"/>
      </w:r>
    </w:p>
    <w:p>
      <w:pPr>
        <w:pBdr>
          <w:bottom w:val="single" w:sz="6" w:space="4" w:color="1A73E8"/>
        </w:pBdr>
        <w:spacing w:before="480" w:after="240"/>
      </w:pPr>
      <w:r>
        <w:rPr>
          <w:rFonts w:ascii="Arial" w:hAnsi="Arial" w:eastAsia="Arial"/>
          <w:b/>
          <w:color w:val="1A73E8"/>
          <w:sz w:val="44"/>
        </w:rPr>
        <w:t>附件5 国务院政策文件-上海国际再保险中心建设方案</w:t>
      </w:r>
    </w:p>
    <w:p>
      <w:pPr>
        <w:pBdr>
          <w:bottom w:val="single" w:sz="6" w:space="4" w:color="19607D"/>
        </w:pBdr>
        <w:spacing w:before="360" w:after="160"/>
      </w:pPr>
      <w:r>
        <w:rPr>
          <w:rFonts w:ascii="Arial" w:hAnsi="Arial" w:eastAsia="Arial"/>
          <w:b/>
          <w:color w:val="19607D"/>
          <w:sz w:val="36"/>
        </w:rPr>
        <w:t>原始来源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22"/>
        </w:rPr>
        <w:t xml:space="preserve">• </w:t>
      </w:r>
      <w:r>
        <w:rPr>
          <w:rFonts w:ascii="Arial" w:hAnsi="Arial"/>
          <w:b/>
          <w:color w:val="333333"/>
          <w:sz w:val="22"/>
        </w:rPr>
        <w:t>政策文件名称：</w:t>
      </w:r>
      <w:r>
        <w:rPr>
          <w:rFonts w:ascii="Arial" w:hAnsi="Arial"/>
          <w:color w:val="333333"/>
          <w:sz w:val="22"/>
        </w:rPr>
        <w:t xml:space="preserve"> 《关于推进上海国际再保险中心建设的意见》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22"/>
        </w:rPr>
        <w:t xml:space="preserve">• </w:t>
      </w:r>
      <w:r>
        <w:rPr>
          <w:rFonts w:ascii="Arial" w:hAnsi="Arial"/>
          <w:b/>
          <w:color w:val="333333"/>
          <w:sz w:val="22"/>
        </w:rPr>
        <w:t>发布机构：</w:t>
      </w:r>
      <w:r>
        <w:rPr>
          <w:rFonts w:ascii="Arial" w:hAnsi="Arial"/>
          <w:color w:val="333333"/>
          <w:sz w:val="22"/>
        </w:rPr>
        <w:t xml:space="preserve"> 国务院 / 国家金融监督管理总局 / 上海市人民政府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22"/>
        </w:rPr>
        <w:t xml:space="preserve">• </w:t>
      </w:r>
      <w:r>
        <w:rPr>
          <w:rFonts w:ascii="Arial" w:hAnsi="Arial"/>
          <w:b/>
          <w:color w:val="333333"/>
          <w:sz w:val="22"/>
        </w:rPr>
        <w:t>发布日期：</w:t>
      </w:r>
      <w:r>
        <w:rPr>
          <w:rFonts w:ascii="Arial" w:hAnsi="Arial"/>
          <w:color w:val="333333"/>
          <w:sz w:val="22"/>
        </w:rPr>
        <w:t xml:space="preserve"> 2023年10月（经国务院同意，国家金融监督管理总局、上海市人民政府联合发布）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22"/>
        </w:rPr>
        <w:t xml:space="preserve">• </w:t>
      </w:r>
      <w:r>
        <w:rPr>
          <w:rFonts w:ascii="Arial" w:hAnsi="Arial"/>
          <w:b/>
          <w:color w:val="333333"/>
          <w:sz w:val="22"/>
        </w:rPr>
        <w:t>原始链接（参考）：</w:t>
      </w:r>
      <w:r>
        <w:rPr>
          <w:rFonts w:ascii="Arial" w:hAnsi="Arial"/>
          <w:color w:val="333333"/>
          <w:sz w:val="22"/>
        </w:rPr>
        <w:t xml:space="preserve"> https://www.gov.cn/zhengce/202310/content_6907777.htm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22"/>
        </w:rPr>
        <w:t xml:space="preserve">• </w:t>
      </w:r>
      <w:r>
        <w:rPr>
          <w:rFonts w:ascii="Arial" w:hAnsi="Arial"/>
          <w:b/>
          <w:color w:val="333333"/>
          <w:sz w:val="22"/>
        </w:rPr>
        <w:t>采集日期：</w:t>
      </w:r>
      <w:r>
        <w:rPr>
          <w:rFonts w:ascii="Arial" w:hAnsi="Arial"/>
          <w:color w:val="333333"/>
          <w:sz w:val="22"/>
        </w:rPr>
        <w:t xml:space="preserve"> 2026年4月26日</w:t>
      </w:r>
    </w:p>
    <w:p>
      <w:pPr>
        <w:pBdr>
          <w:bottom w:val="single" w:sz="6" w:space="4" w:color="19607D"/>
        </w:pBdr>
        <w:spacing w:before="360" w:after="160"/>
      </w:pPr>
      <w:r>
        <w:rPr>
          <w:rFonts w:ascii="Arial" w:hAnsi="Arial" w:eastAsia="Arial"/>
          <w:b/>
          <w:color w:val="19607D"/>
          <w:sz w:val="36"/>
        </w:rPr>
        <w:t>政策要点</w:t>
      </w:r>
    </w:p>
    <w:p>
      <w:pPr>
        <w:spacing w:before="240" w:after="120"/>
      </w:pPr>
      <w:r>
        <w:rPr>
          <w:rFonts w:ascii="Arial" w:hAnsi="Arial" w:eastAsia="Arial"/>
          <w:b/>
          <w:color w:val="37474F"/>
          <w:sz w:val="30"/>
        </w:rPr>
        <w:t>总体目标</w:t>
      </w:r>
    </w:p>
    <w:p>
      <w:pPr>
        <w:spacing w:before="60" w:after="60"/>
        <w:jc w:val="left"/>
      </w:pPr>
      <w:r>
        <w:rPr>
          <w:rFonts w:ascii="Arial" w:hAnsi="Arial"/>
          <w:color w:val="333333"/>
          <w:sz w:val="22"/>
        </w:rPr>
        <w:t>推进上海国际再保险中心建设，构建再保险"国际板"，提升我国在全球再保险市场的定价权、话语权和规则制定权。</w:t>
      </w:r>
    </w:p>
    <w:p>
      <w:pPr>
        <w:spacing w:before="240" w:after="120"/>
      </w:pPr>
      <w:r>
        <w:rPr>
          <w:rFonts w:ascii="Arial" w:hAnsi="Arial" w:eastAsia="Arial"/>
          <w:b/>
          <w:color w:val="37474F"/>
          <w:sz w:val="30"/>
        </w:rPr>
        <w:t>核心措施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22"/>
        </w:rPr>
        <w:t xml:space="preserve">1. </w:t>
      </w:r>
      <w:r>
        <w:rPr>
          <w:rFonts w:ascii="Arial" w:hAnsi="Arial"/>
          <w:b/>
          <w:color w:val="333333"/>
          <w:sz w:val="22"/>
        </w:rPr>
        <w:t>设立再保险国际板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22"/>
        </w:rPr>
        <w:t xml:space="preserve">• </w:t>
      </w:r>
      <w:r>
        <w:rPr>
          <w:rFonts w:ascii="Arial" w:hAnsi="Arial"/>
          <w:color w:val="333333"/>
          <w:sz w:val="22"/>
        </w:rPr>
        <w:t>在上海保险交易所设立再保险国际板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22"/>
        </w:rPr>
        <w:t xml:space="preserve">• </w:t>
      </w:r>
      <w:r>
        <w:rPr>
          <w:rFonts w:ascii="Arial" w:hAnsi="Arial"/>
          <w:color w:val="333333"/>
          <w:sz w:val="22"/>
        </w:rPr>
        <w:t>推动跨境再保险交易集中登记、托管和清算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22"/>
        </w:rPr>
        <w:t xml:space="preserve">• </w:t>
      </w:r>
      <w:r>
        <w:rPr>
          <w:rFonts w:ascii="Arial" w:hAnsi="Arial"/>
          <w:color w:val="333333"/>
          <w:sz w:val="22"/>
        </w:rPr>
        <w:t>建设数字化再保险交易平台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22"/>
        </w:rPr>
        <w:t xml:space="preserve">1. </w:t>
      </w:r>
      <w:r>
        <w:rPr>
          <w:rFonts w:ascii="Arial" w:hAnsi="Arial"/>
          <w:b/>
          <w:color w:val="333333"/>
          <w:sz w:val="22"/>
        </w:rPr>
        <w:t>完善制度体系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22"/>
        </w:rPr>
        <w:t xml:space="preserve">• </w:t>
      </w:r>
      <w:r>
        <w:rPr>
          <w:rFonts w:ascii="Arial" w:hAnsi="Arial"/>
          <w:color w:val="333333"/>
          <w:sz w:val="22"/>
        </w:rPr>
        <w:t>优化再保险跨境资金流动管理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22"/>
        </w:rPr>
        <w:t xml:space="preserve">• </w:t>
      </w:r>
      <w:r>
        <w:rPr>
          <w:rFonts w:ascii="Arial" w:hAnsi="Arial"/>
          <w:color w:val="333333"/>
          <w:sz w:val="22"/>
        </w:rPr>
        <w:t>推动再保险税收政策与国际接轨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22"/>
        </w:rPr>
        <w:t xml:space="preserve">• </w:t>
      </w:r>
      <w:r>
        <w:rPr>
          <w:rFonts w:ascii="Arial" w:hAnsi="Arial"/>
          <w:color w:val="333333"/>
          <w:sz w:val="22"/>
        </w:rPr>
        <w:t>完善再保险法律法规体系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22"/>
        </w:rPr>
        <w:t xml:space="preserve">1. </w:t>
      </w:r>
      <w:r>
        <w:rPr>
          <w:rFonts w:ascii="Arial" w:hAnsi="Arial"/>
          <w:b/>
          <w:color w:val="333333"/>
          <w:sz w:val="22"/>
        </w:rPr>
        <w:t>吸引机构集聚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22"/>
        </w:rPr>
        <w:t xml:space="preserve">• </w:t>
      </w:r>
      <w:r>
        <w:rPr>
          <w:rFonts w:ascii="Arial" w:hAnsi="Arial"/>
          <w:color w:val="333333"/>
          <w:sz w:val="22"/>
        </w:rPr>
        <w:t>鼓励国际再保险机构在上海设立分支机构或运营中心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22"/>
        </w:rPr>
        <w:t xml:space="preserve">• </w:t>
      </w:r>
      <w:r>
        <w:rPr>
          <w:rFonts w:ascii="Arial" w:hAnsi="Arial"/>
          <w:color w:val="333333"/>
          <w:sz w:val="22"/>
        </w:rPr>
        <w:t>支持保险专业中介机构发展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22"/>
        </w:rPr>
        <w:t xml:space="preserve">• </w:t>
      </w:r>
      <w:r>
        <w:rPr>
          <w:rFonts w:ascii="Arial" w:hAnsi="Arial"/>
          <w:color w:val="333333"/>
          <w:sz w:val="22"/>
        </w:rPr>
        <w:t>推动再保险人才集聚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22"/>
        </w:rPr>
        <w:t xml:space="preserve">1. </w:t>
      </w:r>
      <w:r>
        <w:rPr>
          <w:rFonts w:ascii="Arial" w:hAnsi="Arial"/>
          <w:b/>
          <w:color w:val="333333"/>
          <w:sz w:val="22"/>
        </w:rPr>
        <w:t>推动产品创新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22"/>
        </w:rPr>
        <w:t xml:space="preserve">• </w:t>
      </w:r>
      <w:r>
        <w:rPr>
          <w:rFonts w:ascii="Arial" w:hAnsi="Arial"/>
          <w:color w:val="333333"/>
          <w:sz w:val="22"/>
        </w:rPr>
        <w:t>鼓励巨灾债券、保险连接证券（ILS）创新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22"/>
        </w:rPr>
        <w:t xml:space="preserve">• </w:t>
      </w:r>
      <w:r>
        <w:rPr>
          <w:rFonts w:ascii="Arial" w:hAnsi="Arial"/>
          <w:color w:val="333333"/>
          <w:sz w:val="22"/>
        </w:rPr>
        <w:t>支持新能源汽车、集成电路、生物医药等特殊风险再保险发展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22"/>
        </w:rPr>
        <w:t xml:space="preserve">• </w:t>
      </w:r>
      <w:r>
        <w:rPr>
          <w:rFonts w:ascii="Arial" w:hAnsi="Arial"/>
          <w:color w:val="333333"/>
          <w:sz w:val="22"/>
        </w:rPr>
        <w:t>推动绿色保险和航运保险再保险创新</w:t>
      </w:r>
    </w:p>
    <w:p>
      <w:pPr>
        <w:spacing w:before="240" w:after="120"/>
      </w:pPr>
      <w:r>
        <w:rPr>
          <w:rFonts w:ascii="Arial" w:hAnsi="Arial" w:eastAsia="Arial"/>
          <w:b/>
          <w:color w:val="37474F"/>
          <w:sz w:val="30"/>
        </w:rPr>
        <w:t>政策意义</w:t>
      </w:r>
    </w:p>
    <w:p>
      <w:pPr>
        <w:spacing w:before="60" w:after="60"/>
        <w:jc w:val="left"/>
      </w:pPr>
      <w:r>
        <w:rPr>
          <w:rFonts w:ascii="Arial" w:hAnsi="Arial"/>
          <w:color w:val="333333"/>
          <w:sz w:val="22"/>
        </w:rPr>
        <w:t>该政策是中国再保险市场对外开放的标志性举措，将加速国内再保险市场与国际市场的接轨，为中再集团、慕再、瑞再等境内外再保险公司提供新的发展平台和业务机会。</w:t>
      </w:r>
    </w:p>
    <w:p>
      <w:pPr>
        <w:spacing w:before="240" w:after="120"/>
      </w:pPr>
      <w:r>
        <w:rPr>
          <w:rFonts w:ascii="Arial" w:hAnsi="Arial" w:eastAsia="Arial"/>
          <w:b/>
          <w:color w:val="37474F"/>
          <w:sz w:val="30"/>
        </w:rPr>
        <w:t>当前进展（截至2026年4月）</w:t>
      </w:r>
    </w:p>
    <w:p>
      <w:pPr>
        <w:spacing w:before="60" w:after="60"/>
        <w:jc w:val="left"/>
      </w:pPr>
      <w:r>
        <w:rPr>
          <w:rFonts w:ascii="Arial" w:hAnsi="Arial"/>
          <w:color w:val="333333"/>
          <w:sz w:val="22"/>
        </w:rPr>
        <w:t>根据中再集团2025年业绩发布会信息【附件2】：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22"/>
        </w:rPr>
        <w:t xml:space="preserve">• </w:t>
      </w:r>
      <w:r>
        <w:rPr>
          <w:rFonts w:ascii="Arial" w:hAnsi="Arial"/>
          <w:color w:val="333333"/>
          <w:sz w:val="22"/>
        </w:rPr>
        <w:t>中再集团在上海国际再保险中心设立了</w:t>
      </w:r>
      <w:r>
        <w:rPr>
          <w:rFonts w:ascii="Arial" w:hAnsi="Arial"/>
          <w:b/>
          <w:color w:val="333333"/>
          <w:sz w:val="22"/>
        </w:rPr>
        <w:t>3家运营中心</w:t>
      </w:r>
      <w:r>
        <w:rPr>
          <w:rFonts w:ascii="Arial" w:hAnsi="Arial"/>
          <w:color w:val="333333"/>
          <w:sz w:val="22"/>
        </w:rPr>
        <w:t>和中再巨灾上海分公司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22"/>
        </w:rPr>
        <w:t xml:space="preserve">• </w:t>
      </w:r>
      <w:r>
        <w:rPr>
          <w:rFonts w:ascii="Arial" w:hAnsi="Arial"/>
          <w:color w:val="333333"/>
          <w:sz w:val="22"/>
        </w:rPr>
        <w:t>中再集团</w:t>
      </w:r>
      <w:r>
        <w:rPr>
          <w:rFonts w:ascii="Arial" w:hAnsi="Arial"/>
          <w:b/>
          <w:color w:val="333333"/>
          <w:sz w:val="22"/>
        </w:rPr>
        <w:t>累计交易规模和结算金额在交易中心排名均为第一</w:t>
      </w:r>
    </w:p>
    <w:p>
      <w:pPr>
        <w:spacing w:before="120" w:after="120"/>
      </w:pPr>
      <w:r>
        <w:rPr>
          <w:color w:val="5F6368"/>
          <w:sz w:val="16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pBdr>
          <w:bottom w:val="single" w:sz="6" w:space="4" w:color="19607D"/>
        </w:pBdr>
        <w:spacing w:before="360" w:after="160"/>
      </w:pPr>
      <w:r>
        <w:rPr>
          <w:rFonts w:ascii="Arial" w:hAnsi="Arial" w:eastAsia="Arial"/>
          <w:b/>
          <w:color w:val="19607D"/>
          <w:sz w:val="36"/>
        </w:rPr>
        <w:t>信息出处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22"/>
        </w:rPr>
        <w:t xml:space="preserve">• </w:t>
      </w:r>
      <w:r>
        <w:rPr>
          <w:rFonts w:ascii="Arial" w:hAnsi="Arial"/>
          <w:color w:val="333333"/>
          <w:sz w:val="22"/>
        </w:rPr>
        <w:t>国务院政策文件：关于推进上海国际再保险中心建设的意见（2023年）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22"/>
        </w:rPr>
        <w:t xml:space="preserve">• </w:t>
      </w:r>
      <w:r>
        <w:rPr>
          <w:rFonts w:ascii="Arial" w:hAnsi="Arial"/>
          <w:color w:val="333333"/>
          <w:sz w:val="22"/>
        </w:rPr>
        <w:t>中再集团2025年业绩发布会：证实上海再保险中心运营进展【附件2】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