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附件6 国家金融监管总局-偿二代二期工程与再保险监管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附件6 国家金融监管总局-偿二代二期工程与再保险监管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一、偿二代二期工程要点</w:t>
      </w:r>
    </w:p>
    <w:p>
      <w:pPr>
        <w:spacing w:before="40" w:after="40"/>
      </w:pPr>
      <w:r>
        <w:rPr>
          <w:color w:val="333333"/>
          <w:sz w:val="20"/>
        </w:rPr>
        <w:t xml:space="preserve">        ▪  1. 资本计量更加精细</w:t>
      </w:r>
    </w:p>
    <w:p>
      <w:pPr>
        <w:spacing w:before="40" w:after="40"/>
      </w:pPr>
      <w:r>
        <w:rPr>
          <w:color w:val="333333"/>
          <w:sz w:val="20"/>
        </w:rPr>
        <w:t xml:space="preserve">        ▪  2. 再保险交易的资本处理</w:t>
      </w:r>
    </w:p>
    <w:p>
      <w:pPr>
        <w:spacing w:before="40" w:after="40"/>
      </w:pPr>
      <w:r>
        <w:rPr>
          <w:color w:val="333333"/>
          <w:sz w:val="20"/>
        </w:rPr>
        <w:t xml:space="preserve">        ▪  3. 对再保险行业的影响</w:t>
      </w:r>
    </w:p>
    <w:p>
      <w:pPr>
        <w:spacing w:before="40" w:after="40"/>
      </w:pPr>
      <w:r>
        <w:rPr>
          <w:color w:val="333333"/>
          <w:sz w:val="20"/>
        </w:rPr>
        <w:t xml:space="preserve">    ○  二、IFRS17（新保险合同准则）</w:t>
      </w:r>
    </w:p>
    <w:p>
      <w:pPr>
        <w:spacing w:before="40" w:after="40"/>
      </w:pPr>
      <w:r>
        <w:rPr>
          <w:color w:val="333333"/>
          <w:sz w:val="20"/>
        </w:rPr>
        <w:t xml:space="preserve">    ○  三、再保险监管新趋势</w:t>
      </w:r>
    </w:p>
    <w:p>
      <w:pPr>
        <w:spacing w:before="40" w:after="40"/>
      </w:pPr>
      <w:r>
        <w:rPr>
          <w:color w:val="333333"/>
          <w:sz w:val="20"/>
        </w:rPr>
        <w:t xml:space="preserve">    ○  四、各公司偿付能力数据（参考）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附件6 国家金融监管总局-偿二代二期工程与再保险监管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发布机构：</w:t>
      </w:r>
      <w:r>
        <w:rPr>
          <w:rFonts w:ascii="Arial" w:hAnsi="Arial"/>
          <w:color w:val="333333"/>
          <w:sz w:val="22"/>
        </w:rPr>
        <w:t xml:space="preserve"> 国家金融监督管理总局（原银保监会）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参考文件：</w:t>
      </w:r>
      <w:r>
        <w:rPr>
          <w:rFonts w:ascii="Arial" w:hAnsi="Arial"/>
          <w:color w:val="333333"/>
          <w:sz w:val="22"/>
        </w:rPr>
        <w:t xml:space="preserve"> 偿二代二期工程相关监管规则及通知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相关链接：</w:t>
      </w:r>
      <w:r>
        <w:rPr>
          <w:rFonts w:ascii="Arial" w:hAnsi="Arial"/>
          <w:color w:val="333333"/>
          <w:sz w:val="22"/>
        </w:rPr>
        <w:t xml:space="preserve"> https://www.nfra.gov.cn/ （国家金融监督管理总局官网）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一、偿二代二期工程要点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中国风险导向偿付能力体系（偿二代）二期工程自2022年起正式实施，对再保险公司经营产生深远影响：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1. 资本计量更加精细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对保险风险、市场风险、信用风险、操作风险的资本要求更加细化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对再保险业务的信用风险计量更加严格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对巨灾风险资本要求有所提升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推动行业从规模导向转向质量导向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2. 再保险交易的资本处理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分出再保险的信用风险资本计量更加审慎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对再公司的评级和信用质量提出更高要求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推动分出公司选择更高评级的再保险公司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对境外再保险人的认可标准更加严格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3. 对再保险行业的影响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影响维度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具体表现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资本管理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再保险公司需更精准地管理资本，优化资本结构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业务结构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低资本消耗型业务更受青睐（如寿险再保险）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分出需求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直保公司分出再保险需求增加，推动市场扩容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定价策略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风险定价更加精细化，优质业务竞争优势扩大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国际接轨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偿二代与国际标准（IAIS ICS）趋同，利于国际化发展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二、IFRS17（新保险合同准则）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新保险合同准则自2023年起实施，对再保险业务的影响：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再保险合同的会计处理方式发生根本性变化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分出再保险业务按保险服务结果和保险财务结果分别列示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对再保险公司的财务报告和盈利能力展示方式产生深远影响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推动了再保险安排从"财务工具"向"风险管理工具"的转变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汉诺威再保险等公司在此专业领域具有全球领先经验【附件9】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三、再保险监管新趋势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再保险监管专业化</w:t>
      </w:r>
      <w:r>
        <w:rPr>
          <w:rFonts w:ascii="Arial" w:hAnsi="Arial"/>
          <w:color w:val="333333"/>
          <w:sz w:val="22"/>
        </w:rPr>
        <w:t>：国家金融监管总局下设财产保险监管司（再保险监管司），再保险监管独立性增强【附件3】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国际监管协作</w:t>
      </w:r>
      <w:r>
        <w:rPr>
          <w:rFonts w:ascii="Arial" w:hAnsi="Arial"/>
          <w:color w:val="333333"/>
          <w:sz w:val="22"/>
        </w:rPr>
        <w:t>：中国积极参与IAIS国际保险监管规则制定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数据安全与跨境数据流动</w:t>
      </w:r>
      <w:r>
        <w:rPr>
          <w:rFonts w:ascii="Arial" w:hAnsi="Arial"/>
          <w:color w:val="333333"/>
          <w:sz w:val="22"/>
        </w:rPr>
        <w:t>：加强对再保险数据出境的监管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系统重要性机构监管</w:t>
      </w:r>
      <w:r>
        <w:rPr>
          <w:rFonts w:ascii="Arial" w:hAnsi="Arial"/>
          <w:color w:val="333333"/>
          <w:sz w:val="22"/>
        </w:rPr>
        <w:t>：中再集团被认定为境内首家"国际活跃保险集团"，面临更高监管标准【附件4】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四、各公司偿付能力数据（参考）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根据中再集团2025年业绩发布会数据【附件2】：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主体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综合偿付能力充足率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中再集团本级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320%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中再产险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229%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中再寿险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200%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中国大地保险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279%</w:t>
            </w:r>
          </w:p>
        </w:tc>
      </w:tr>
    </w:tbl>
    <w:p/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国家金融监督管理总局官网：www.nfra.gov.cn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中再集团2025年度业绩发布会数据【附件2】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保险行业公开研究报告：偿二代二期工程影响分析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各再保险公司偿付能力报告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