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附件7 慕尼黑再保险-中国区业务概况与战略方向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附件7 慕尼黑再保险（Munich Re）-中国区业务概况与战略方向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公司概况</w:t>
      </w:r>
    </w:p>
    <w:p>
      <w:pPr>
        <w:spacing w:before="40" w:after="40"/>
      </w:pPr>
      <w:r>
        <w:rPr>
          <w:color w:val="333333"/>
          <w:sz w:val="20"/>
        </w:rPr>
        <w:t xml:space="preserve">    ○  中国区业务布局</w:t>
      </w:r>
    </w:p>
    <w:p>
      <w:pPr>
        <w:spacing w:before="40" w:after="40"/>
      </w:pPr>
      <w:r>
        <w:rPr>
          <w:color w:val="333333"/>
          <w:sz w:val="20"/>
        </w:rPr>
        <w:t xml:space="preserve">    ○  核心竞争优势</w:t>
      </w:r>
    </w:p>
    <w:p>
      <w:pPr>
        <w:spacing w:before="40" w:after="40"/>
      </w:pPr>
      <w:r>
        <w:rPr>
          <w:color w:val="333333"/>
          <w:sz w:val="20"/>
        </w:rPr>
        <w:t xml:space="preserve">    ○  未来1-3年战略方向（根据全球战略推断）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附件7 慕尼黑再保险（Munich Re）-中国区业务概况与战略方向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慕尼黑再保险集团官网（www.munichre.com）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参考页面：</w:t>
      </w:r>
      <w:r>
        <w:rPr>
          <w:rFonts w:ascii="Arial" w:hAnsi="Arial"/>
          <w:color w:val="333333"/>
          <w:sz w:val="22"/>
        </w:rPr>
        <w:t xml:space="preserve"> 慕再中国区介绍页面、年度报告、行业报道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公司概况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慕尼黑再保险（Munich Re）创立于1880年，总部位于德国慕尼黑，是全球</w:t>
      </w:r>
      <w:r>
        <w:rPr>
          <w:rFonts w:ascii="Arial" w:hAnsi="Arial"/>
          <w:b/>
          <w:color w:val="333333"/>
          <w:sz w:val="22"/>
        </w:rPr>
        <w:t>最大</w:t>
      </w:r>
      <w:r>
        <w:rPr>
          <w:rFonts w:ascii="Arial" w:hAnsi="Arial"/>
          <w:color w:val="333333"/>
          <w:sz w:val="22"/>
        </w:rPr>
        <w:t>的再保险公司之一。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集团总部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德国慕尼黑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中国区总部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北京（北京分公司）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2024年集团保费收入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约600亿欧元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中国区业务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财产险再保险、寿险再保险、特殊风险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信用评级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A+（标准普尔）/ Aa3（穆迪）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中国区业务布局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慕再在中国市场经营多年，北京分公司是其主要在华法律实体。业务涵盖：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财产险再保险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企财险、工程险、责任险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巨灾再保险（地震、台风、）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-航空航天险、能源险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信用保证险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寿险与健康险再保险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寿险再保险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健康险再保险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意外险再保险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特殊风险与解决方案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气候与环境风险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绿色保险与可持续金融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保险连接证券（ILS）/ 巨灾债券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数字化保险解决方案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核心竞争优势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巨灾模型（NatCatSERVICE）</w:t>
      </w:r>
      <w:r>
        <w:rPr>
          <w:rFonts w:ascii="Arial" w:hAnsi="Arial"/>
          <w:color w:val="333333"/>
          <w:sz w:val="22"/>
        </w:rPr>
        <w:t>：全球领先的自然灾害损失数据库和风险评估模型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风险管理咨询</w:t>
      </w:r>
      <w:r>
        <w:rPr>
          <w:rFonts w:ascii="Arial" w:hAnsi="Arial"/>
          <w:color w:val="333333"/>
          <w:sz w:val="22"/>
        </w:rPr>
        <w:t>：为直保公司提供精算、风控、再保安排优化等综合服务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全球网络</w:t>
      </w:r>
      <w:r>
        <w:rPr>
          <w:rFonts w:ascii="Arial" w:hAnsi="Arial"/>
          <w:color w:val="333333"/>
          <w:sz w:val="22"/>
        </w:rPr>
        <w:t>：覆盖50多个国家和地区的服务网络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创新能力</w:t>
      </w:r>
      <w:r>
        <w:rPr>
          <w:rFonts w:ascii="Arial" w:hAnsi="Arial"/>
          <w:color w:val="333333"/>
          <w:sz w:val="22"/>
        </w:rPr>
        <w:t>：在参数化保险、绿色保险、科技保险等新兴领域保持领先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未来1-3年战略方向（根据全球战略推断）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战略方向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具体措施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绿色保险与气候变化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发展气候变化风险管理解决方案，推动绿色转型保险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数字化与科技赋能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推进大数据、AI在承保和理赔中的应用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中国市场持续投入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以上海再保险中心为平台扩大在华业务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慕尼黑再保险集团官网：www.munichre.com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慕再历年年度报告及中国业务公开信息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行业研究报告：全球再保险市场分析报告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