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jc w:val="center"/>
      </w:pPr>
      <w:r>
        <w:rPr>
          <w:rFonts w:ascii="宋体" w:hAnsi="宋体" w:eastAsia="宋体"/>
          <w:b w:val="0"/>
          <w:sz w:val="44"/>
        </w:rPr>
        <w:t>鸿运承物业管理中心2026年一季度</w:t>
      </w:r>
    </w:p>
    <w:p>
      <w:pPr>
        <w:spacing w:line="560" w:lineRule="exact"/>
        <w:jc w:val="center"/>
      </w:pPr>
      <w:r>
        <w:rPr>
          <w:rFonts w:ascii="宋体" w:hAnsi="宋体" w:eastAsia="宋体"/>
          <w:b w:val="0"/>
          <w:sz w:val="44"/>
        </w:rPr>
        <w:t>"接诉即办"工作分析讲评</w:t>
      </w:r>
    </w:p>
    <w:p>
      <w:pPr>
        <w:spacing w:line="560" w:lineRule="exact"/>
      </w:pPr>
      <w:r>
        <w:rPr>
          <w:rFonts w:ascii="仿宋" w:hAnsi="仿宋" w:eastAsia="仿宋"/>
          <w:b w:val="0"/>
          <w:sz w:val="32"/>
        </w:rPr>
      </w:r>
    </w:p>
    <w:p>
      <w:pPr>
        <w:spacing w:line="560" w:lineRule="exact"/>
      </w:pPr>
      <w:r>
        <w:rPr>
          <w:rFonts w:ascii="黑体" w:hAnsi="黑体" w:eastAsia="黑体"/>
          <w:b/>
          <w:sz w:val="32"/>
        </w:rPr>
        <w:t>一、"接诉即办"派单分析讲评</w:t>
      </w:r>
    </w:p>
    <w:p>
      <w:pPr>
        <w:spacing w:line="560" w:lineRule="exact"/>
      </w:pPr>
      <w:r>
        <w:rPr>
          <w:rFonts w:ascii="楷体" w:hAnsi="楷体" w:eastAsia="楷体"/>
          <w:b w:val="0"/>
          <w:sz w:val="32"/>
        </w:rPr>
        <w:t>1. 市级派单情况</w:t>
      </w:r>
    </w:p>
    <w:p>
      <w:pPr>
        <w:spacing w:line="560" w:lineRule="exact"/>
        <w:ind w:firstLine="640"/>
      </w:pPr>
      <w:r>
        <w:rPr>
          <w:rFonts w:ascii="仿宋" w:hAnsi="仿宋" w:eastAsia="仿宋"/>
          <w:b w:val="0"/>
          <w:sz w:val="32"/>
        </w:rPr>
        <w:t>2026年一季度，共签收市级派单246件；与2025年同期对比如下：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11"/>
        <w:gridCol w:w="2211"/>
        <w:gridCol w:w="2211"/>
        <w:gridCol w:w="2211"/>
      </w:tblGrid>
      <w:tr>
        <w:tc>
          <w:tcPr>
            <w:tcW w:type="dxa" w:w="2211"/>
          </w:tcPr>
          <w:p>
            <w:pPr>
              <w:jc w:val="center"/>
            </w:pPr>
            <w:r/>
            <w:r>
              <w:rPr>
                <w:rFonts w:ascii="黑体" w:hAnsi="黑体" w:eastAsia="黑体"/>
                <w:b/>
                <w:sz w:val="28"/>
              </w:rPr>
              <w:t>性质</w:t>
            </w:r>
          </w:p>
        </w:tc>
        <w:tc>
          <w:tcPr>
            <w:tcW w:type="dxa" w:w="2211"/>
          </w:tcPr>
          <w:p>
            <w:pPr>
              <w:jc w:val="center"/>
            </w:pPr>
            <w:r/>
            <w:r>
              <w:rPr>
                <w:rFonts w:ascii="黑体" w:hAnsi="黑体" w:eastAsia="黑体"/>
                <w:b/>
                <w:sz w:val="28"/>
              </w:rPr>
              <w:t>2026年一季度</w:t>
            </w:r>
          </w:p>
        </w:tc>
        <w:tc>
          <w:tcPr>
            <w:tcW w:type="dxa" w:w="2211"/>
          </w:tcPr>
          <w:p>
            <w:pPr>
              <w:jc w:val="center"/>
            </w:pPr>
            <w:r/>
            <w:r>
              <w:rPr>
                <w:rFonts w:ascii="黑体" w:hAnsi="黑体" w:eastAsia="黑体"/>
                <w:b/>
                <w:sz w:val="28"/>
              </w:rPr>
              <w:t>2025年一季度</w:t>
            </w:r>
          </w:p>
        </w:tc>
        <w:tc>
          <w:tcPr>
            <w:tcW w:type="dxa" w:w="2211"/>
          </w:tcPr>
          <w:p>
            <w:pPr>
              <w:jc w:val="center"/>
            </w:pPr>
            <w:r/>
            <w:r>
              <w:rPr>
                <w:rFonts w:ascii="黑体" w:hAnsi="黑体" w:eastAsia="黑体"/>
                <w:b/>
                <w:sz w:val="28"/>
              </w:rPr>
              <w:t>同比增减</w:t>
            </w:r>
          </w:p>
        </w:tc>
      </w:tr>
      <w:tr>
        <w:tc>
          <w:tcPr>
            <w:tcW w:type="dxa" w:w="2211"/>
          </w:tcPr>
          <w:p>
            <w:pPr>
              <w:jc w:val="center"/>
            </w:pPr>
            <w:r/>
            <w:r>
              <w:rPr>
                <w:rFonts w:ascii="仿宋" w:hAnsi="仿宋" w:eastAsia="仿宋"/>
                <w:sz w:val="28"/>
              </w:rPr>
              <w:t>诉求</w:t>
            </w:r>
          </w:p>
        </w:tc>
        <w:tc>
          <w:tcPr>
            <w:tcW w:type="dxa" w:w="2211"/>
          </w:tcPr>
          <w:p>
            <w:pPr>
              <w:jc w:val="center"/>
            </w:pPr>
            <w:r/>
            <w:r>
              <w:rPr>
                <w:rFonts w:ascii="仿宋" w:hAnsi="仿宋" w:eastAsia="仿宋"/>
                <w:sz w:val="28"/>
              </w:rPr>
              <w:t>182</w:t>
            </w:r>
          </w:p>
        </w:tc>
        <w:tc>
          <w:tcPr>
            <w:tcW w:type="dxa" w:w="2211"/>
          </w:tcPr>
          <w:p>
            <w:pPr>
              <w:jc w:val="center"/>
            </w:pPr>
            <w:r/>
            <w:r>
              <w:rPr>
                <w:rFonts w:ascii="仿宋" w:hAnsi="仿宋" w:eastAsia="仿宋"/>
                <w:sz w:val="28"/>
              </w:rPr>
              <w:t>195</w:t>
            </w:r>
          </w:p>
        </w:tc>
        <w:tc>
          <w:tcPr>
            <w:tcW w:type="dxa" w:w="2211"/>
          </w:tcPr>
          <w:p>
            <w:pPr>
              <w:jc w:val="center"/>
            </w:pPr>
            <w:r/>
            <w:r>
              <w:rPr>
                <w:rFonts w:ascii="仿宋" w:hAnsi="仿宋" w:eastAsia="仿宋"/>
                <w:sz w:val="28"/>
              </w:rPr>
              <w:t>-13件，↓6.67%</w:t>
            </w:r>
          </w:p>
        </w:tc>
      </w:tr>
      <w:tr>
        <w:tc>
          <w:tcPr>
            <w:tcW w:type="dxa" w:w="2211"/>
          </w:tcPr>
          <w:p>
            <w:pPr>
              <w:jc w:val="center"/>
            </w:pPr>
            <w:r/>
            <w:r>
              <w:rPr>
                <w:rFonts w:ascii="仿宋" w:hAnsi="仿宋" w:eastAsia="仿宋"/>
                <w:sz w:val="28"/>
              </w:rPr>
              <w:t>表扬</w:t>
            </w:r>
          </w:p>
        </w:tc>
        <w:tc>
          <w:tcPr>
            <w:tcW w:type="dxa" w:w="2211"/>
          </w:tcPr>
          <w:p>
            <w:pPr>
              <w:jc w:val="center"/>
            </w:pPr>
            <w:r/>
            <w:r>
              <w:rPr>
                <w:rFonts w:ascii="仿宋" w:hAnsi="仿宋" w:eastAsia="仿宋"/>
                <w:sz w:val="28"/>
              </w:rPr>
              <w:t>13</w:t>
            </w:r>
          </w:p>
        </w:tc>
        <w:tc>
          <w:tcPr>
            <w:tcW w:type="dxa" w:w="2211"/>
          </w:tcPr>
          <w:p>
            <w:pPr>
              <w:jc w:val="center"/>
            </w:pPr>
            <w:r/>
            <w:r>
              <w:rPr>
                <w:rFonts w:ascii="仿宋" w:hAnsi="仿宋" w:eastAsia="仿宋"/>
                <w:sz w:val="28"/>
              </w:rPr>
              <w:t>11</w:t>
            </w:r>
          </w:p>
        </w:tc>
        <w:tc>
          <w:tcPr>
            <w:tcW w:type="dxa" w:w="2211"/>
          </w:tcPr>
          <w:p>
            <w:pPr>
              <w:jc w:val="center"/>
            </w:pPr>
            <w:r/>
            <w:r>
              <w:rPr>
                <w:rFonts w:ascii="仿宋" w:hAnsi="仿宋" w:eastAsia="仿宋"/>
                <w:sz w:val="28"/>
              </w:rPr>
              <w:t>+2件，↑18.18%</w:t>
            </w:r>
          </w:p>
        </w:tc>
      </w:tr>
      <w:tr>
        <w:tc>
          <w:tcPr>
            <w:tcW w:type="dxa" w:w="2211"/>
          </w:tcPr>
          <w:p>
            <w:pPr>
              <w:jc w:val="center"/>
            </w:pPr>
            <w:r/>
            <w:r>
              <w:rPr>
                <w:rFonts w:ascii="仿宋" w:hAnsi="仿宋" w:eastAsia="仿宋"/>
                <w:sz w:val="28"/>
              </w:rPr>
              <w:t>其他</w:t>
            </w:r>
          </w:p>
        </w:tc>
        <w:tc>
          <w:tcPr>
            <w:tcW w:type="dxa" w:w="2211"/>
          </w:tcPr>
          <w:p>
            <w:pPr>
              <w:jc w:val="center"/>
            </w:pPr>
            <w:r/>
            <w:r>
              <w:rPr>
                <w:rFonts w:ascii="仿宋" w:hAnsi="仿宋" w:eastAsia="仿宋"/>
                <w:sz w:val="28"/>
              </w:rPr>
              <w:t>50</w:t>
            </w:r>
          </w:p>
        </w:tc>
        <w:tc>
          <w:tcPr>
            <w:tcW w:type="dxa" w:w="2211"/>
          </w:tcPr>
          <w:p>
            <w:pPr>
              <w:jc w:val="center"/>
            </w:pPr>
            <w:r/>
            <w:r>
              <w:rPr>
                <w:rFonts w:ascii="仿宋" w:hAnsi="仿宋" w:eastAsia="仿宋"/>
                <w:sz w:val="28"/>
              </w:rPr>
              <w:t>44</w:t>
            </w:r>
          </w:p>
        </w:tc>
        <w:tc>
          <w:tcPr>
            <w:tcW w:type="dxa" w:w="2211"/>
          </w:tcPr>
          <w:p>
            <w:pPr>
              <w:jc w:val="center"/>
            </w:pPr>
            <w:r/>
            <w:r>
              <w:rPr>
                <w:rFonts w:ascii="仿宋" w:hAnsi="仿宋" w:eastAsia="仿宋"/>
                <w:sz w:val="28"/>
              </w:rPr>
              <w:t>+6件，↑13.64%</w:t>
            </w:r>
          </w:p>
        </w:tc>
      </w:tr>
      <w:tr>
        <w:tc>
          <w:tcPr>
            <w:tcW w:type="dxa" w:w="2211"/>
          </w:tcPr>
          <w:p>
            <w:pPr>
              <w:jc w:val="center"/>
            </w:pPr>
            <w:r/>
            <w:r>
              <w:rPr>
                <w:rFonts w:ascii="仿宋" w:hAnsi="仿宋" w:eastAsia="仿宋"/>
                <w:sz w:val="28"/>
              </w:rPr>
              <w:t>咨询</w:t>
            </w:r>
          </w:p>
        </w:tc>
        <w:tc>
          <w:tcPr>
            <w:tcW w:type="dxa" w:w="2211"/>
          </w:tcPr>
          <w:p>
            <w:pPr>
              <w:jc w:val="center"/>
            </w:pPr>
            <w:r/>
            <w:r>
              <w:rPr>
                <w:rFonts w:ascii="仿宋" w:hAnsi="仿宋" w:eastAsia="仿宋"/>
                <w:sz w:val="28"/>
              </w:rPr>
              <w:t>1</w:t>
            </w:r>
          </w:p>
        </w:tc>
        <w:tc>
          <w:tcPr>
            <w:tcW w:type="dxa" w:w="2211"/>
          </w:tcPr>
          <w:p>
            <w:pPr>
              <w:jc w:val="center"/>
            </w:pPr>
            <w:r/>
            <w:r>
              <w:rPr>
                <w:rFonts w:ascii="仿宋" w:hAnsi="仿宋" w:eastAsia="仿宋"/>
                <w:sz w:val="28"/>
              </w:rPr>
              <w:t>2</w:t>
            </w:r>
          </w:p>
        </w:tc>
        <w:tc>
          <w:tcPr>
            <w:tcW w:type="dxa" w:w="2211"/>
          </w:tcPr>
          <w:p>
            <w:pPr>
              <w:jc w:val="center"/>
            </w:pPr>
            <w:r/>
            <w:r>
              <w:rPr>
                <w:rFonts w:ascii="仿宋" w:hAnsi="仿宋" w:eastAsia="仿宋"/>
                <w:sz w:val="28"/>
              </w:rPr>
              <w:t>-1件，↓50%</w:t>
            </w:r>
          </w:p>
        </w:tc>
      </w:tr>
      <w:tr>
        <w:tc>
          <w:tcPr>
            <w:tcW w:type="dxa" w:w="2211"/>
          </w:tcPr>
          <w:p>
            <w:pPr>
              <w:jc w:val="center"/>
            </w:pPr>
            <w:r/>
            <w:r>
              <w:rPr>
                <w:rFonts w:ascii="仿宋" w:hAnsi="仿宋" w:eastAsia="仿宋"/>
                <w:sz w:val="28"/>
              </w:rPr>
              <w:t>合计</w:t>
            </w:r>
          </w:p>
        </w:tc>
        <w:tc>
          <w:tcPr>
            <w:tcW w:type="dxa" w:w="2211"/>
          </w:tcPr>
          <w:p>
            <w:pPr>
              <w:jc w:val="center"/>
            </w:pPr>
            <w:r/>
            <w:r>
              <w:rPr>
                <w:rFonts w:ascii="仿宋" w:hAnsi="仿宋" w:eastAsia="仿宋"/>
                <w:sz w:val="28"/>
              </w:rPr>
              <w:t>246</w:t>
            </w:r>
          </w:p>
        </w:tc>
        <w:tc>
          <w:tcPr>
            <w:tcW w:type="dxa" w:w="2211"/>
          </w:tcPr>
          <w:p>
            <w:pPr>
              <w:jc w:val="center"/>
            </w:pPr>
            <w:r/>
            <w:r>
              <w:rPr>
                <w:rFonts w:ascii="仿宋" w:hAnsi="仿宋" w:eastAsia="仿宋"/>
                <w:sz w:val="28"/>
              </w:rPr>
              <w:t>251</w:t>
            </w:r>
          </w:p>
        </w:tc>
        <w:tc>
          <w:tcPr>
            <w:tcW w:type="dxa" w:w="2211"/>
          </w:tcPr>
          <w:p>
            <w:pPr>
              <w:jc w:val="center"/>
            </w:pPr>
            <w:r/>
            <w:r>
              <w:rPr>
                <w:rFonts w:ascii="仿宋" w:hAnsi="仿宋" w:eastAsia="仿宋"/>
                <w:sz w:val="28"/>
              </w:rPr>
              <w:t>-5件，↓1.99%</w:t>
            </w:r>
          </w:p>
        </w:tc>
      </w:tr>
    </w:tbl>
    <w:p>
      <w:pPr>
        <w:spacing w:line="560" w:lineRule="exact"/>
        <w:ind w:firstLine="640"/>
      </w:pPr>
      <w:r>
        <w:rPr>
          <w:rFonts w:ascii="仿宋" w:hAnsi="仿宋" w:eastAsia="仿宋"/>
          <w:b w:val="0"/>
          <w:sz w:val="32"/>
        </w:rPr>
        <w:t>一季度市级派单共246件，其中1月91件（诉求67件、表扬7件、其他17件），2月86件（诉求66件、表扬5件、其他15件），3月69件（诉求49件、表扬1件、其他18件、咨询1件）。诉求类派单182件，占派单总量的73.98%。</w:t>
      </w:r>
    </w:p>
    <w:p>
      <w:pPr>
        <w:spacing w:line="560" w:lineRule="exact"/>
        <w:ind w:firstLine="640"/>
      </w:pPr>
      <w:r>
        <w:rPr>
          <w:rFonts w:ascii="仿宋" w:hAnsi="仿宋" w:eastAsia="仿宋"/>
          <w:b w:val="0"/>
          <w:sz w:val="32"/>
        </w:rPr>
        <w:t>与2025年同期相比，2026年一季度市级派单总量246件，较2025年同期的251件减少5件，下降1.99%。从派单构成看，诉求类182件，较2025年同期的183件基本持平；表扬类13件，较同期的10件增加3件，上升30%；其他类50件，较期的40件增加10件，上升25%；咨询类1件，较同期的2件减少1件。</w:t>
      </w:r>
    </w:p>
    <w:p>
      <w:pPr>
        <w:spacing w:line="560" w:lineRule="exact"/>
        <w:ind w:firstLine="640"/>
      </w:pPr>
      <w:r>
        <w:rPr>
          <w:rFonts w:ascii="仿宋" w:hAnsi="仿宋" w:eastAsia="仿宋"/>
          <w:b w:val="0"/>
          <w:sz w:val="32"/>
        </w:rPr>
        <w:t>从诉求派单分布上看，诉求排名靠前的部室分别为：物管行政部78件（占42.86%），主要集中在车辆卫生问题；安保部43件（占23.63%），主要集中于场站安保问题、劳动人员管理及劳动纪律问题；人力资源部24件（占13.19%），集中在劳动人员调配及薪酬问题；工程设备部18件（占9.89%），集中在站台护栏问题、站务设施设置问题；餐饮服务部11件（占6.04%），集中在就餐服务问题。</w:t>
      </w:r>
    </w:p>
    <w:p>
      <w:pPr>
        <w:spacing w:line="560" w:lineRule="exact"/>
        <w:ind w:firstLine="640"/>
      </w:pPr>
      <w:r>
        <w:rPr>
          <w:rFonts w:ascii="仿宋" w:hAnsi="仿宋" w:eastAsia="仿宋"/>
          <w:b w:val="0"/>
          <w:sz w:val="32"/>
        </w:rPr>
        <w:t>与2025年同期相比，各专业部室诉求量变化如下：物管行政部78件，较2025年同期的62件增加16件，上升25.81%；安保部43件，较同期的33件增加10件，上升30.30%；人力资源部24件，较同期的34件减少10件，下降29.41%；工程设备部18件，较同期的30件减少12件，下降40.00%；餐饮服务部11件，较同期的13件减少2件，下降15.38%。物管行政部和安保部诉求量同比上升明显，人力资源部、工程设备部诉求量较去年同期有所下降。</w:t>
      </w:r>
    </w:p>
    <w:p>
      <w:pPr>
        <w:spacing w:line="560" w:lineRule="exact"/>
        <w:ind w:firstLine="640"/>
      </w:pPr>
      <w:r>
        <w:rPr>
          <w:rFonts w:ascii="仿宋" w:hAnsi="仿宋" w:eastAsia="仿宋"/>
          <w:b w:val="0"/>
          <w:sz w:val="32"/>
        </w:rPr>
        <w:t>总体来看，一季度市级派单的主要诉求来源仍集中在物管行政部及安保部。其中诉求排名靠前的问题项分别为车辆卫生问题、场站安保问题、劳动人员调配及薪酬问题、站台护栏问题、就餐服务问题及站务设施设置问题。</w:t>
      </w:r>
    </w:p>
    <w:p>
      <w:pPr>
        <w:spacing w:line="560" w:lineRule="exact"/>
        <w:ind w:firstLine="640"/>
      </w:pPr>
      <w:r>
        <w:rPr>
          <w:rFonts w:ascii="仿宋" w:hAnsi="仿宋" w:eastAsia="仿宋"/>
          <w:b w:val="0"/>
          <w:sz w:val="32"/>
        </w:rPr>
        <w:t>一季度诉求派单按业务/政策分类，业务类诉求148件（占81.32%），政策类诉求31件（占17.03%），纠纷类3件（占1.65%）。与2025年同期相比，业务类诉求较同期的113件增加35件，上升30.97%；政策类诉求较同期的70件大幅下降39件，下降55.71%，反映出综A岗改革等政策经过前期宣贯和调整，相关争议已有所缓解。</w:t>
      </w:r>
    </w:p>
    <w:p>
      <w:pPr>
        <w:spacing w:line="560" w:lineRule="exact"/>
        <w:ind w:firstLine="640"/>
      </w:pPr>
      <w:r>
        <w:rPr>
          <w:rFonts w:ascii="仿宋" w:hAnsi="仿宋" w:eastAsia="仿宋"/>
          <w:b w:val="0"/>
          <w:sz w:val="32"/>
        </w:rPr>
        <w:t>从诉求派单按分中心分布看，承办量靠前的分中心分别为：动物园分中心27件、机关19件、西客站分中心16件、小营分中心14件、西苑分中心13件、天宫院分中心10件、方庄分中心9件、东直门分中心8件、南湖分中心8件、单店分中心7件、史各庄分中心7件。</w:t>
      </w:r>
    </w:p>
    <w:p>
      <w:pPr>
        <w:spacing w:line="560" w:lineRule="exact"/>
      </w:pPr>
      <w:r>
        <w:rPr>
          <w:rFonts w:ascii="楷体" w:hAnsi="楷体" w:eastAsia="楷体"/>
          <w:b w:val="0"/>
          <w:sz w:val="32"/>
        </w:rPr>
        <w:t>2. 集团级派单</w:t>
      </w:r>
    </w:p>
    <w:p>
      <w:pPr>
        <w:spacing w:line="560" w:lineRule="exact"/>
        <w:ind w:firstLine="640"/>
      </w:pPr>
      <w:r>
        <w:rPr>
          <w:rFonts w:ascii="仿宋" w:hAnsi="仿宋" w:eastAsia="仿宋"/>
          <w:b w:val="0"/>
          <w:sz w:val="32"/>
        </w:rPr>
        <w:t>2026年一季度，共接收"96166"派单220件（1月87件、2月84件、3月49件）。按性质分类：诉求102件、表扬16件、其他102件。</w:t>
      </w:r>
    </w:p>
    <w:p>
      <w:pPr>
        <w:spacing w:line="560" w:lineRule="exact"/>
        <w:ind w:firstLine="640"/>
      </w:pPr>
      <w:r>
        <w:rPr>
          <w:rFonts w:ascii="仿宋" w:hAnsi="仿宋" w:eastAsia="仿宋"/>
          <w:b w:val="0"/>
          <w:sz w:val="32"/>
        </w:rPr>
        <w:t>从部室分布看，"96166"派单主要承接部室为：物管部81件、安全保卫部（应急管理中心）40件、人力资源部37件、餐饮服务部17件、工程设备部14件。</w:t>
      </w:r>
    </w:p>
    <w:p>
      <w:pPr>
        <w:spacing w:line="560" w:lineRule="exact"/>
      </w:pPr>
      <w:r>
        <w:rPr>
          <w:rFonts w:ascii="黑体" w:hAnsi="黑体" w:eastAsia="黑体"/>
          <w:b/>
          <w:sz w:val="32"/>
        </w:rPr>
        <w:t>二、一季度"三率"考核情况分析</w:t>
      </w:r>
    </w:p>
    <w:p>
      <w:pPr>
        <w:spacing w:line="560" w:lineRule="exact"/>
        <w:ind w:firstLine="640"/>
      </w:pPr>
      <w:r>
        <w:rPr>
          <w:rFonts w:ascii="仿宋" w:hAnsi="仿宋" w:eastAsia="仿宋"/>
          <w:b w:val="0"/>
          <w:sz w:val="32"/>
        </w:rPr>
        <w:t>2026年一季度，物业管理中心承办的市级"12345"单中，纳入市中心回访考核共计94件。</w:t>
      </w:r>
    </w:p>
    <w:p>
      <w:pPr>
        <w:spacing w:line="560" w:lineRule="exact"/>
        <w:ind w:firstLine="640"/>
      </w:pPr>
      <w:r>
        <w:rPr>
          <w:rFonts w:ascii="仿宋" w:hAnsi="仿宋" w:eastAsia="仿宋"/>
          <w:b w:val="0"/>
          <w:sz w:val="32"/>
        </w:rPr>
        <w:t>从考核周期看，1月28件、2月37件、3月29件（截至3月12日）。</w:t>
      </w:r>
    </w:p>
    <w:p>
      <w:pPr>
        <w:spacing w:line="560" w:lineRule="exact"/>
        <w:ind w:firstLine="640"/>
      </w:pPr>
      <w:r>
        <w:rPr>
          <w:rFonts w:ascii="仿宋" w:hAnsi="仿宋" w:eastAsia="仿宋"/>
          <w:b w:val="0"/>
          <w:sz w:val="32"/>
        </w:rPr>
        <w:t>从评价情况看，一季度纳入考核派单全部为"只评价响应率"派单（94件，100%），无"三率"全考核派单。</w:t>
      </w:r>
    </w:p>
    <w:p>
      <w:pPr>
        <w:spacing w:line="560" w:lineRule="exact"/>
        <w:ind w:firstLine="640"/>
      </w:pPr>
      <w:r>
        <w:rPr>
          <w:rFonts w:ascii="仿宋" w:hAnsi="仿宋" w:eastAsia="仿宋"/>
          <w:b w:val="0"/>
          <w:sz w:val="32"/>
        </w:rPr>
        <w:t>从响应情况看，纳入考核的94件派单全部实现"已联系"，响应率为100%。</w:t>
      </w:r>
    </w:p>
    <w:p>
      <w:pPr>
        <w:spacing w:line="560" w:lineRule="exact"/>
        <w:ind w:firstLine="640"/>
      </w:pPr>
      <w:r>
        <w:rPr>
          <w:rFonts w:ascii="仿宋" w:hAnsi="仿宋" w:eastAsia="仿宋"/>
          <w:b w:val="0"/>
          <w:sz w:val="32"/>
        </w:rPr>
        <w:t>从解决率、满意率看，一季度无纳入解决率、满意率考核的派单，未出现失分情况。</w:t>
      </w:r>
    </w:p>
    <w:p>
      <w:pPr>
        <w:spacing w:line="560" w:lineRule="exact"/>
        <w:ind w:firstLine="640"/>
      </w:pPr>
      <w:r>
        <w:rPr>
          <w:rFonts w:ascii="仿宋" w:hAnsi="仿宋" w:eastAsia="仿宋"/>
          <w:b w:val="0"/>
          <w:sz w:val="32"/>
        </w:rPr>
        <w:t>与2025年上半年考核情况相比（221件纳入考核、其中2件失分），2026年未出现失分情况，办理质量有所提升。但也应清醒认识到，仅考核响应率的格局下，后续纳入全口径考核的派单量可能增加，各单位仍需高度重视办理质量。</w:t>
      </w:r>
    </w:p>
    <w:p>
      <w:pPr>
        <w:spacing w:line="560" w:lineRule="exact"/>
      </w:pPr>
      <w:r>
        <w:rPr>
          <w:rFonts w:ascii="黑体" w:hAnsi="黑体" w:eastAsia="黑体"/>
          <w:b/>
          <w:sz w:val="32"/>
        </w:rPr>
        <w:t>三、突出诉求问题分析</w:t>
      </w:r>
    </w:p>
    <w:p>
      <w:pPr>
        <w:spacing w:line="560" w:lineRule="exact"/>
      </w:pPr>
      <w:r>
        <w:rPr>
          <w:rFonts w:ascii="楷体" w:hAnsi="楷体" w:eastAsia="楷体"/>
          <w:b w:val="0"/>
          <w:sz w:val="32"/>
        </w:rPr>
        <w:t>1. 车辆卫生问题（一季度高频问题）</w:t>
      </w:r>
    </w:p>
    <w:p>
      <w:pPr>
        <w:spacing w:line="560" w:lineRule="exact"/>
        <w:ind w:firstLine="640"/>
      </w:pPr>
      <w:r>
        <w:rPr>
          <w:rFonts w:ascii="仿宋" w:hAnsi="仿宋" w:eastAsia="仿宋"/>
          <w:b w:val="0"/>
          <w:sz w:val="32"/>
        </w:rPr>
        <w:t>一季度车辆卫生问题是物业管理的重点和难点，涉及物管行政部多个分中心。反映较为集中的问题包括：车内座椅有灰尘、垃圾未清理、扶手脏粘、玻璃脏、车内异味等。涉及的线路较多，如107路、120路、362路、575路、599路、883路、896路、142路、387路等。</w:t>
      </w:r>
    </w:p>
    <w:p>
      <w:pPr>
        <w:spacing w:line="560" w:lineRule="exact"/>
        <w:ind w:firstLine="640"/>
      </w:pPr>
      <w:r>
        <w:rPr>
          <w:rFonts w:ascii="仿宋" w:hAnsi="仿宋" w:eastAsia="仿宋"/>
          <w:b w:val="0"/>
          <w:sz w:val="32"/>
        </w:rPr>
        <w:t>从办理情况，各分中心均能及时响应，但存在投诉现象，日常保洁质量仍需持续加强监督和长效管理。</w:t>
      </w:r>
    </w:p>
    <w:p>
      <w:pPr>
        <w:spacing w:line="560" w:lineRule="exact"/>
      </w:pPr>
      <w:r>
        <w:rPr>
          <w:rFonts w:ascii="楷体" w:hAnsi="楷体" w:eastAsia="楷体"/>
          <w:b w:val="0"/>
          <w:sz w:val="32"/>
        </w:rPr>
        <w:t>2. 场站安保问题</w:t>
      </w:r>
    </w:p>
    <w:p>
      <w:pPr>
        <w:spacing w:line="560" w:lineRule="exact"/>
        <w:ind w:firstLine="640"/>
      </w:pPr>
      <w:r>
        <w:rPr>
          <w:rFonts w:ascii="仿宋" w:hAnsi="仿宋" w:eastAsia="仿宋"/>
          <w:b w:val="0"/>
          <w:sz w:val="32"/>
        </w:rPr>
        <w:t>一季度场站安保类诉求涉及安保部多个分中心，主要包括：保安工作态度、门岗管理、外卖进入场站管理、私家车违规停放及停车收费等。涉及小营、方庄、单店、南湖、田顺庄、辛庄等分中心。</w:t>
      </w:r>
    </w:p>
    <w:p>
      <w:pPr>
        <w:spacing w:line="560" w:lineRule="exact"/>
      </w:pPr>
      <w:r>
        <w:rPr>
          <w:rFonts w:ascii="楷体" w:hAnsi="楷体" w:eastAsia="楷体"/>
          <w:b w:val="0"/>
          <w:sz w:val="32"/>
        </w:rPr>
        <w:t>3. 综合站务员A岗改革相关诉求</w:t>
      </w:r>
    </w:p>
    <w:p>
      <w:pPr>
        <w:spacing w:line="560" w:lineRule="exact"/>
        <w:ind w:firstLine="640"/>
      </w:pPr>
      <w:r>
        <w:rPr>
          <w:rFonts w:ascii="仿宋" w:hAnsi="仿宋" w:eastAsia="仿宋"/>
          <w:b w:val="0"/>
          <w:sz w:val="32"/>
        </w:rPr>
        <w:t>一季度涉及人力资源部的政策类诉求较为集中，主要为综合站务员A岗优化配置改革引发的劳动人员调配及薪酬问题。涉及凌家庙、九龙、单店等多个分中心。</w:t>
      </w:r>
    </w:p>
    <w:p>
      <w:pPr>
        <w:spacing w:line="560" w:lineRule="exact"/>
      </w:pPr>
      <w:r>
        <w:rPr>
          <w:rFonts w:ascii="楷体" w:hAnsi="楷体" w:eastAsia="楷体"/>
          <w:b w:val="0"/>
          <w:sz w:val="32"/>
        </w:rPr>
        <w:t>4. 就餐服务问题</w:t>
      </w:r>
    </w:p>
    <w:p>
      <w:pPr>
        <w:spacing w:line="560" w:lineRule="exact"/>
        <w:ind w:firstLine="640"/>
      </w:pPr>
      <w:r>
        <w:rPr>
          <w:rFonts w:ascii="仿宋" w:hAnsi="仿宋" w:eastAsia="仿宋"/>
          <w:b w:val="0"/>
          <w:sz w:val="32"/>
        </w:rPr>
        <w:t>涉及餐饮服务部的诉求主要集中在食堂管理方面，包括菜品种类、价格合理性、工作人员态度等问题。</w:t>
      </w:r>
    </w:p>
    <w:p>
      <w:pPr>
        <w:spacing w:line="560" w:lineRule="exact"/>
      </w:pPr>
      <w:r>
        <w:rPr>
          <w:rFonts w:ascii="楷体" w:hAnsi="楷体" w:eastAsia="楷体"/>
          <w:b w:val="0"/>
          <w:sz w:val="32"/>
        </w:rPr>
        <w:t>5. 站台护栏及站务设施问题</w:t>
      </w:r>
    </w:p>
    <w:p>
      <w:pPr>
        <w:spacing w:line="560" w:lineRule="exact"/>
        <w:ind w:firstLine="640"/>
      </w:pPr>
      <w:r>
        <w:rPr>
          <w:rFonts w:ascii="仿宋" w:hAnsi="仿宋" w:eastAsia="仿宋"/>
          <w:b w:val="0"/>
          <w:sz w:val="32"/>
        </w:rPr>
        <w:t>涉及工程设备部的主要在站台护栏维修调整、站务设施设置等方面。</w:t>
      </w:r>
    </w:p>
    <w:p>
      <w:pPr>
        <w:spacing w:line="560" w:lineRule="exact"/>
      </w:pPr>
      <w:r>
        <w:rPr>
          <w:rFonts w:ascii="黑体" w:hAnsi="黑体" w:eastAsia="黑体"/>
          <w:b/>
          <w:sz w:val="32"/>
        </w:rPr>
        <w:t>四下一步工作提示</w:t>
      </w:r>
    </w:p>
    <w:p>
      <w:pPr>
        <w:spacing w:line="560" w:lineRule="exact"/>
      </w:pPr>
      <w:r>
        <w:rPr>
          <w:rFonts w:ascii="楷体" w:hAnsi="楷体" w:eastAsia="楷体"/>
          <w:b w:val="0"/>
          <w:sz w:val="32"/>
        </w:rPr>
        <w:t>1. 深化"未诉先办"改革，推动主动治理</w:t>
      </w:r>
    </w:p>
    <w:p>
      <w:pPr>
        <w:spacing w:line="560" w:lineRule="exact"/>
        <w:ind w:firstLine="640"/>
      </w:pPr>
      <w:r>
        <w:rPr>
          <w:rFonts w:ascii="仿宋" w:hAnsi="仿宋" w:eastAsia="仿宋"/>
          <w:b w:val="0"/>
          <w:sz w:val="32"/>
        </w:rPr>
        <w:t>依据集团公司《关于进一步深化接诉即办改革的意见》及物业管理中心修订后的实施细则，各单位要从"接诉即办"向"未诉先办"深化，加强日常巡查和问题预判，提前制定预防措施。</w:t>
      </w:r>
    </w:p>
    <w:p>
      <w:pPr>
        <w:spacing w:line="560" w:lineRule="exact"/>
      </w:pPr>
      <w:r>
        <w:rPr>
          <w:rFonts w:ascii="楷体" w:hAnsi="楷体" w:eastAsia="楷体"/>
          <w:b w:val="0"/>
          <w:sz w:val="32"/>
        </w:rPr>
        <w:t>2. 严格落实分级协同和提级办理机制，提升处置能力</w:t>
      </w:r>
    </w:p>
    <w:p>
      <w:pPr>
        <w:spacing w:line="560" w:lineRule="exact"/>
        <w:ind w:firstLine="640"/>
      </w:pPr>
      <w:r>
        <w:rPr>
          <w:rFonts w:ascii="仿宋" w:hAnsi="仿宋" w:eastAsia="仿宋"/>
          <w:b w:val="0"/>
          <w:sz w:val="32"/>
        </w:rPr>
        <w:t>对于基层分中心难以解决的难点问题，相关专业部门要主动提级办理、提级答复、提级见面。对于重复诉求，要及时与诉求人见面沟通。</w:t>
      </w:r>
    </w:p>
    <w:p>
      <w:pPr>
        <w:spacing w:line="560" w:lineRule="exact"/>
      </w:pPr>
      <w:r>
        <w:rPr>
          <w:rFonts w:ascii="楷体" w:hAnsi="楷体" w:eastAsia="楷体"/>
          <w:b w:val="0"/>
          <w:sz w:val="32"/>
        </w:rPr>
        <w:t>3. 加强内部职工诉求的化解工作</w:t>
      </w:r>
    </w:p>
    <w:p>
      <w:pPr>
        <w:spacing w:line="560" w:lineRule="exact"/>
        <w:ind w:firstLine="640"/>
      </w:pPr>
      <w:r>
        <w:rPr>
          <w:rFonts w:ascii="仿宋" w:hAnsi="仿宋" w:eastAsia="仿宋"/>
          <w:b w:val="0"/>
          <w:sz w:val="32"/>
        </w:rPr>
        <w:t>集团公司1至3月内部职工诉求持续较高（1月26件、2月33件、3月25件），主要集中在人力资源政策、薪资福利等方面。各相关专业及分中心要主动开展沟通工作，及时化解内部矛盾。</w:t>
      </w:r>
    </w:p>
    <w:p>
      <w:pPr>
        <w:spacing w:line="560" w:lineRule="exact"/>
      </w:pPr>
      <w:r>
        <w:rPr>
          <w:rFonts w:ascii="楷体" w:hAnsi="楷体" w:eastAsia="楷体"/>
          <w:b w:val="0"/>
          <w:sz w:val="32"/>
        </w:rPr>
        <w:t>4. 规范剔除材料与挂账管理，降低被考核风险</w:t>
      </w:r>
    </w:p>
    <w:p>
      <w:pPr>
        <w:spacing w:line="560" w:lineRule="exact"/>
        <w:ind w:firstLine="640"/>
      </w:pPr>
      <w:r>
        <w:rPr>
          <w:rFonts w:ascii="仿宋" w:hAnsi="仿宋" w:eastAsia="仿宋"/>
          <w:b w:val="0"/>
          <w:sz w:val="32"/>
        </w:rPr>
        <w:t>各专业部室和分中心要加强剔除材料的规范化管理。对符合"五挂两不挂"标准的合理诉求按时申报挂账，确保按期销账出库。</w:t>
      </w:r>
    </w:p>
    <w:p>
      <w:pPr>
        <w:spacing w:line="560" w:lineRule="exact"/>
      </w:pPr>
      <w:r>
        <w:rPr>
          <w:rFonts w:ascii="楷体" w:hAnsi="楷体" w:eastAsia="楷体"/>
          <w:b w:val="0"/>
          <w:sz w:val="32"/>
        </w:rPr>
        <w:t>5. 高度重视"民生类"诉求办理质量</w:t>
      </w:r>
    </w:p>
    <w:p>
      <w:pPr>
        <w:spacing w:line="560" w:lineRule="exact"/>
        <w:ind w:firstLine="640"/>
      </w:pPr>
      <w:r>
        <w:rPr>
          <w:rFonts w:ascii="仿宋" w:hAnsi="仿宋" w:eastAsia="仿宋"/>
          <w:b w:val="0"/>
          <w:sz w:val="32"/>
        </w:rPr>
        <w:t>物管行政部及安保部需重点加强车辆卫生及场站安保等民生类诉求的办理质量。对涉及"七有五性"指标的派单优先办理、重点督办。</w:t>
      </w:r>
    </w:p>
    <w:p>
      <w:pPr>
        <w:spacing w:line="560" w:lineRule="exact"/>
      </w:pPr>
      <w:r>
        <w:rPr>
          <w:rFonts w:ascii="黑体" w:hAnsi="黑体" w:eastAsia="黑体"/>
          <w:b/>
          <w:sz w:val="32"/>
        </w:rPr>
        <w:t>五、2026年一季度各分中心诉求承办量通报</w:t>
      </w:r>
    </w:p>
    <w:p>
      <w:pPr>
        <w:spacing w:line="560" w:lineRule="exact"/>
        <w:ind w:firstLine="640"/>
      </w:pPr>
      <w:r>
        <w:rPr>
          <w:rFonts w:ascii="仿宋" w:hAnsi="仿宋" w:eastAsia="仿宋"/>
          <w:b w:val="0"/>
          <w:sz w:val="32"/>
        </w:rPr>
        <w:t>一季度各分中心诉求承办量如下：动物园分中心27件、机关19件、西客站分中心16件、小营分中心14件、西苑分中心13件、天宫院分中心10件、方庄分中心9件、东直门分中心8件、南湖分中心8件、单店分中心7件、史各庄分中心7件、凌家庙分中心6件、回龙观分中心5件、田顺庄分中心4件、大观园分中心4件、河滩分中心3件、明月湾分中心3件、四惠分中心3件、城南嘉园分中心3件、阜成门分中心3件、土桥分中心3件、九龙分中心2、辛庄分中心2件、龙之乡分中心2件、小区留守组1件。</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