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before="116" w:line="582" w:lineRule="exact"/>
        <w:ind w:left="273"/>
        <w:jc w:val="center"/>
        <w:textAlignment w:val="auto"/>
        <w:outlineLvl w:val="0"/>
        <w:rPr>
          <w:rFonts w:ascii="宋体" w:hAnsi="宋体" w:eastAsia="宋体" w:cs="宋体"/>
          <w:color w:val="auto"/>
          <w:sz w:val="43"/>
          <w:szCs w:val="43"/>
        </w:rPr>
      </w:pPr>
      <w:r>
        <w:rPr>
          <w:rFonts w:ascii="宋体" w:hAnsi="宋体" w:eastAsia="宋体" w:cs="宋体"/>
          <w:b/>
          <w:bCs/>
          <w:color w:val="auto"/>
          <w:spacing w:val="3"/>
          <w:position w:val="2"/>
          <w:sz w:val="43"/>
          <w:szCs w:val="43"/>
        </w:rPr>
        <w:t>集团公司</w:t>
      </w:r>
      <w:r>
        <w:rPr>
          <w:rFonts w:hint="eastAsia" w:ascii="宋体" w:hAnsi="宋体" w:eastAsia="宋体" w:cs="宋体"/>
          <w:b/>
          <w:bCs/>
          <w:color w:val="auto"/>
          <w:spacing w:val="3"/>
          <w:position w:val="2"/>
          <w:sz w:val="43"/>
          <w:szCs w:val="43"/>
          <w:lang w:val="en-US" w:eastAsia="zh-CN"/>
        </w:rPr>
        <w:t>2</w:t>
      </w:r>
      <w:r>
        <w:rPr>
          <w:rFonts w:ascii="宋体" w:hAnsi="宋体" w:eastAsia="宋体" w:cs="宋体"/>
          <w:b/>
          <w:bCs/>
          <w:color w:val="auto"/>
          <w:spacing w:val="3"/>
          <w:position w:val="2"/>
          <w:sz w:val="43"/>
          <w:szCs w:val="43"/>
        </w:rPr>
        <w:t>月份“接诉即办”工作讲评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300" w:lineRule="auto"/>
        <w:jc w:val="both"/>
        <w:textAlignment w:val="auto"/>
        <w:rPr>
          <w:rFonts w:ascii="Arial"/>
          <w:color w:val="auto"/>
          <w:sz w:val="21"/>
        </w:rPr>
      </w:pP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301" w:lineRule="auto"/>
        <w:jc w:val="both"/>
        <w:textAlignment w:val="auto"/>
        <w:rPr>
          <w:rFonts w:ascii="Arial"/>
          <w:color w:val="auto"/>
          <w:sz w:val="21"/>
        </w:rPr>
      </w:pP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firstLine="640" w:firstLineChars="200"/>
        <w:jc w:val="both"/>
        <w:textAlignment w:val="auto"/>
        <w:outlineLvl w:val="1"/>
        <w:rPr>
          <w:rFonts w:ascii="黑体" w:hAnsi="黑体" w:eastAsia="黑体" w:cs="黑体"/>
          <w:color w:val="auto"/>
          <w:sz w:val="31"/>
          <w:szCs w:val="31"/>
        </w:rPr>
      </w:pPr>
      <w:r>
        <w:rPr>
          <w:rFonts w:ascii="黑体" w:hAnsi="黑体" w:eastAsia="黑体" w:cs="黑体"/>
          <w:color w:val="auto"/>
          <w:spacing w:val="5"/>
          <w:sz w:val="31"/>
          <w:szCs w:val="31"/>
        </w:rPr>
        <w:t>一、202</w:t>
      </w:r>
      <w:r>
        <w:rPr>
          <w:rFonts w:hint="eastAsia" w:ascii="黑体" w:hAnsi="黑体" w:eastAsia="黑体" w:cs="黑体"/>
          <w:color w:val="auto"/>
          <w:spacing w:val="5"/>
          <w:sz w:val="31"/>
          <w:szCs w:val="31"/>
          <w:lang w:val="en-US" w:eastAsia="zh-CN"/>
        </w:rPr>
        <w:t>6</w:t>
      </w:r>
      <w:r>
        <w:rPr>
          <w:rFonts w:ascii="黑体" w:hAnsi="黑体" w:eastAsia="黑体" w:cs="黑体"/>
          <w:color w:val="auto"/>
          <w:spacing w:val="5"/>
          <w:sz w:val="31"/>
          <w:szCs w:val="31"/>
        </w:rPr>
        <w:t>年</w:t>
      </w:r>
      <w:r>
        <w:rPr>
          <w:rFonts w:hint="eastAsia" w:ascii="黑体" w:hAnsi="黑体" w:eastAsia="黑体" w:cs="黑体"/>
          <w:color w:val="auto"/>
          <w:spacing w:val="5"/>
          <w:sz w:val="31"/>
          <w:szCs w:val="31"/>
          <w:lang w:val="en-US" w:eastAsia="zh-CN"/>
        </w:rPr>
        <w:t>2</w:t>
      </w:r>
      <w:r>
        <w:rPr>
          <w:rFonts w:ascii="黑体" w:hAnsi="黑体" w:eastAsia="黑体" w:cs="黑体"/>
          <w:color w:val="auto"/>
          <w:spacing w:val="5"/>
          <w:sz w:val="31"/>
          <w:szCs w:val="31"/>
        </w:rPr>
        <w:t>月份集团公司接诉即办工作情况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firstLine="634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ascii="楷体" w:hAnsi="楷体" w:eastAsia="楷体" w:cs="楷体"/>
          <w:b/>
          <w:bCs/>
          <w:color w:val="auto"/>
          <w:spacing w:val="3"/>
          <w:sz w:val="31"/>
          <w:szCs w:val="31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3"/>
          <w:sz w:val="30"/>
          <w:szCs w:val="30"/>
        </w:rPr>
        <w:t>一）集团公司“三率”指标及排名情况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3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月份，按照《接诉即办工作</w:t>
      </w:r>
      <w:r>
        <w:rPr>
          <w:rFonts w:hint="eastAsia" w:ascii="仿宋_GB2312" w:hAnsi="仿宋_GB2312" w:eastAsia="仿宋_GB2312" w:cs="仿宋_GB2312"/>
          <w:color w:val="auto"/>
          <w:spacing w:val="-2"/>
          <w:sz w:val="32"/>
          <w:szCs w:val="32"/>
        </w:rPr>
        <w:t>评价实施办法》</w:t>
      </w:r>
      <w:r>
        <w:rPr>
          <w:rFonts w:hint="eastAsia" w:ascii="仿宋_GB2312" w:hAnsi="仿宋_GB2312" w:eastAsia="仿宋_GB2312" w:cs="仿宋_GB2312"/>
          <w:color w:val="auto"/>
          <w:spacing w:val="-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全市共有3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家国有企业参与评价，其中集团公司诉求办理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评价档次为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</w:rPr>
        <w:t>优秀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根据《接诉即办工作评价实施办法》相关内容和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回访明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细计算，集团公司响应率100%、解决率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98.99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%、满意率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98.99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综合得分为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99.09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分。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2026年1月至2月，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按照《接诉即办工作评价实施办法》，全市共有41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家国有企业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参与评价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其中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集团公司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两个月诉求办理评价档次为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优秀。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三率成绩：响应率100%、解决率98.75%、满意率98.74%，综合得分98.87分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2026年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1月至2月，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按照《接诉即办工作评价实施办法》，全市共有39家市级部门和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国有企业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企业诉求参与评价，其中集团公司办理评价档次为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待提升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。根据回访明细查看，集团公司2件纳入企业诉求评价考核，均为双否派单。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59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（二）集团公司派单情况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Chars="0"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2026年2月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，集团公司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签收市12345服务热线派单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6485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上月7041件下降7.90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同比去年5772件上升12.35%。其中，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诉求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5511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上月5957件下降7.49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同比去年5490件上升0.38%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承办的派单中，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不纳入“三率”考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评的保密类派单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946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纳入“三率”考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评的派单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5539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集团公司共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上报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剔除材料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4792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，占应纳入考核的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>86.51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</w:rPr>
        <w:t>%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份，市中心回访成功的派单4083件，成功率73.71%，其中3件未通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过市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中心审核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未解决、不满意4件，分别为：机关、客一、客二、城市更新各1件。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.通过96166和12345双渠道反映问题情况：乘客通过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双渠道反映问题分为两种情形：一种是同时通过双渠道反映</w:t>
      </w:r>
      <w:r>
        <w:rPr>
          <w:rFonts w:hint="eastAsia" w:ascii="仿宋_GB2312" w:hAnsi="仿宋_GB2312" w:eastAsia="仿宋_GB2312" w:cs="仿宋_GB2312"/>
          <w:color w:val="auto"/>
          <w:spacing w:val="10"/>
          <w:sz w:val="32"/>
          <w:szCs w:val="32"/>
        </w:rPr>
        <w:t>同一问题；另一种是首先拨打96166反映问题，由于办理单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位不重视，没办理好或未及时回复，赔偿不满意等，导致乘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客通过拨打12345再次反映同一问题。202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月份，乘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客通过两个渠道实名反映问题（含拆单）共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2084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件，其中，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</w:rPr>
        <w:t>乘客同一电话多次拨打两个渠道反映问题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  <w:lang w:val="en-US" w:eastAsia="zh-CN"/>
        </w:rPr>
        <w:t>435</w:t>
      </w:r>
      <w:r>
        <w:rPr>
          <w:rFonts w:hint="eastAsia" w:ascii="仿宋_GB2312" w:hAnsi="仿宋_GB2312" w:eastAsia="仿宋_GB2312" w:cs="仿宋_GB2312"/>
          <w:color w:val="auto"/>
          <w:spacing w:val="17"/>
          <w:sz w:val="32"/>
          <w:szCs w:val="32"/>
        </w:rPr>
        <w:t>件，先通过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96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</w:rPr>
        <w:t>166反映问题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  <w:lang w:val="en-US" w:eastAsia="zh-CN"/>
        </w:rPr>
        <w:t>257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</w:rPr>
        <w:t>先通过1234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</w:rPr>
        <w:t>渠道反映问题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  <w:lang w:val="en-US" w:eastAsia="zh-CN"/>
        </w:rPr>
        <w:t>178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18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3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（三）各专业、各单位派单及得分情况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1.各专业情况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（1）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月份，诉求量前五名的专业及涉及主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要诉求类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型：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安服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1861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，占比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33.77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，主要涉及调整</w:t>
      </w:r>
      <w:r>
        <w:rPr>
          <w:rFonts w:hint="eastAsia" w:ascii="仿宋_GB2312" w:hAnsi="仿宋_GB2312" w:eastAsia="仿宋_GB2312" w:cs="仿宋_GB2312"/>
          <w:color w:val="auto"/>
          <w:spacing w:val="16"/>
          <w:sz w:val="32"/>
          <w:szCs w:val="32"/>
        </w:rPr>
        <w:t>服务规范、常规线路跑来不等、</w:t>
      </w:r>
      <w:r>
        <w:rPr>
          <w:rFonts w:hint="eastAsia" w:ascii="仿宋_GB2312" w:hAnsi="仿宋_GB2312" w:eastAsia="仿宋_GB2312" w:cs="仿宋_GB2312"/>
          <w:color w:val="auto"/>
          <w:spacing w:val="16"/>
          <w:sz w:val="32"/>
          <w:szCs w:val="32"/>
          <w:lang w:val="en-US" w:eastAsia="zh-CN"/>
        </w:rPr>
        <w:t>车速慢</w:t>
      </w:r>
      <w:r>
        <w:rPr>
          <w:rFonts w:hint="eastAsia" w:ascii="仿宋_GB2312" w:hAnsi="仿宋_GB2312" w:eastAsia="仿宋_GB2312" w:cs="仿宋_GB2312"/>
          <w:color w:val="auto"/>
          <w:spacing w:val="16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5"/>
          <w:sz w:val="32"/>
          <w:szCs w:val="32"/>
        </w:rPr>
        <w:t>运调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5"/>
          <w:sz w:val="32"/>
          <w:szCs w:val="32"/>
          <w:lang w:val="en-US" w:eastAsia="zh-CN"/>
        </w:rPr>
        <w:t>1554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5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  <w:t>28.20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，主要涉及突发交通影响、调整定点班线间隔、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缩小间隔、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地铁施工封站接驳线路发车间隔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线网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7"/>
          <w:sz w:val="32"/>
          <w:szCs w:val="32"/>
          <w:lang w:val="en-US" w:eastAsia="zh-CN"/>
        </w:rPr>
        <w:t>958件，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7"/>
          <w:sz w:val="32"/>
          <w:szCs w:val="32"/>
          <w:lang w:val="en-US" w:eastAsia="zh-CN"/>
        </w:rPr>
        <w:t>17.38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7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7"/>
          <w:sz w:val="32"/>
          <w:szCs w:val="32"/>
        </w:rPr>
        <w:t>，主要涉及调整公交线路、新增合并公交站位、恢复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线路等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科信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667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件，占比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12.10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，主要涉及车内设施、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空调暖风故障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安保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  <w:lang w:val="en-US" w:eastAsia="zh-CN"/>
        </w:rPr>
        <w:t>191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件，占比</w:t>
      </w:r>
      <w:r>
        <w:rPr>
          <w:rFonts w:hint="eastAsia" w:ascii="仿宋_GB2312" w:hAnsi="仿宋_GB2312" w:eastAsia="仿宋_GB2312" w:cs="仿宋_GB2312"/>
          <w:color w:val="auto"/>
          <w:spacing w:val="-34"/>
          <w:sz w:val="32"/>
          <w:szCs w:val="32"/>
          <w:lang w:val="en-US" w:eastAsia="zh-CN"/>
        </w:rPr>
        <w:t>3.47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，主要涉及改善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乘务管理员服务、乘务管理员解答不到位、乘务管理员违纪。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0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0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  <w:bookmarkStart w:id="0" w:name="_GoBack"/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185420</wp:posOffset>
            </wp:positionH>
            <wp:positionV relativeFrom="page">
              <wp:posOffset>1384935</wp:posOffset>
            </wp:positionV>
            <wp:extent cx="5282565" cy="2350770"/>
            <wp:effectExtent l="0" t="0" r="5715" b="11430"/>
            <wp:wrapSquare wrapText="bothSides"/>
            <wp:docPr id="5" name="图片 5" descr="7531c99c-4d19-458d-8013-cf45f432c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531c99c-4d19-458d-8013-cf45f432c1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（2）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月各专业“三率”得分情况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149860</wp:posOffset>
            </wp:positionH>
            <wp:positionV relativeFrom="page">
              <wp:posOffset>4189730</wp:posOffset>
            </wp:positionV>
            <wp:extent cx="5276850" cy="2305685"/>
            <wp:effectExtent l="0" t="0" r="11430" b="10795"/>
            <wp:wrapSquare wrapText="bothSides"/>
            <wp:docPr id="3" name="图片 3" descr="13b56aa7-3fe5-41aa-a1b5-ad381ec0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b56aa7-3fe5-41aa-a1b5-ad381ec006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1-2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双月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各专业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三率”得分情况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after="0" w:afterLines="0" w:line="56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（3）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月份，100分专业为：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线网中心、行车安全服务部、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调度指挥中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心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科技信息部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党委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组织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部</w:t>
      </w:r>
      <w:r>
        <w:rPr>
          <w:rFonts w:hint="eastAsia" w:ascii="仿宋_GB2312" w:hAnsi="仿宋_GB2312" w:eastAsia="仿宋_GB2312" w:cs="仿宋_GB2312"/>
          <w:color w:val="auto"/>
          <w:spacing w:val="-40"/>
          <w:sz w:val="32"/>
          <w:szCs w:val="32"/>
        </w:rPr>
        <w:t>；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本月未形成考核数据的部门为：人力资源部、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办公室、资产管理部（招标采购中心）、宣传部、纪检监察办、工会、团委、战发部、法务合规部和财务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部；排名靠后的为：</w:t>
      </w:r>
      <w:r>
        <w:rPr>
          <w:rFonts w:hint="eastAsia" w:ascii="仿宋_GB2312" w:hAnsi="仿宋_GB2312" w:eastAsia="仿宋_GB2312" w:cs="仿宋_GB2312"/>
          <w:color w:val="auto"/>
          <w:spacing w:val="-40"/>
          <w:sz w:val="32"/>
          <w:szCs w:val="32"/>
          <w:lang w:val="en-US" w:eastAsia="zh-CN"/>
        </w:rPr>
        <w:t>基建行政部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月上升的专业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调度指挥中心上升3.33分、线网中心上升2.54分、行车安全服务部上升1.41分；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月下降的专业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基建行政部下降90分、投资管理部下降45分、安保部下降3.46分。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双月平均分为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100分的专业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科技信息部、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党委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组织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63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2.各单位派单情况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48" w:firstLineChars="200"/>
        <w:jc w:val="both"/>
        <w:textAlignment w:val="auto"/>
        <w:rPr>
          <w:rFonts w:ascii="Arial"/>
          <w:color w:val="auto"/>
          <w:sz w:val="21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101600</wp:posOffset>
            </wp:positionH>
            <wp:positionV relativeFrom="page">
              <wp:posOffset>3164840</wp:posOffset>
            </wp:positionV>
            <wp:extent cx="5283835" cy="2875280"/>
            <wp:effectExtent l="0" t="0" r="4445" b="5080"/>
            <wp:wrapSquare wrapText="bothSides"/>
            <wp:docPr id="1" name="图片 1" descr="8082b57a966b20c46b4b32bf5130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082b57a966b20c46b4b32bf513020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（1）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-7"/>
          <w:sz w:val="32"/>
          <w:szCs w:val="32"/>
        </w:rPr>
        <w:t>月份各单位“三率”得分情况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after="0" w:afterLines="0"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1-2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双月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三率”得分情况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right="0" w:rightChars="0" w:firstLine="64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52705</wp:posOffset>
            </wp:positionH>
            <wp:positionV relativeFrom="page">
              <wp:posOffset>6452870</wp:posOffset>
            </wp:positionV>
            <wp:extent cx="5286375" cy="2842895"/>
            <wp:effectExtent l="0" t="0" r="1905" b="6985"/>
            <wp:wrapSquare wrapText="bothSides"/>
            <wp:docPr id="6" name="图片 6" descr="e8b09a61-0d28-400c-a1dd-de21938a6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8b09a61-0d28-400c-a1dd-de21938a6b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right="0" w:rightChars="0" w:firstLine="64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（2）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月份，100分单位分别为：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客三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客四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客五、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客六、客七、客八、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电车、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资产公司；本月未形成考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核数据的为：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客九、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鸿运承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物业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、保修、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  <w:lang w:val="en-US" w:eastAsia="zh-CN"/>
        </w:rPr>
        <w:t>北巴、</w:t>
      </w:r>
      <w:r>
        <w:rPr>
          <w:rFonts w:hint="eastAsia" w:ascii="仿宋_GB2312" w:hAnsi="仿宋_GB2312" w:eastAsia="仿宋_GB2312" w:cs="仿宋_GB2312"/>
          <w:color w:val="auto"/>
          <w:spacing w:val="-10"/>
          <w:sz w:val="32"/>
          <w:szCs w:val="32"/>
        </w:rPr>
        <w:t>技师学</w:t>
      </w:r>
      <w:r>
        <w:rPr>
          <w:rFonts w:hint="eastAsia" w:ascii="仿宋_GB2312" w:hAnsi="仿宋_GB2312" w:eastAsia="仿宋_GB2312" w:cs="仿宋_GB2312"/>
          <w:color w:val="auto"/>
          <w:spacing w:val="-11"/>
          <w:sz w:val="32"/>
          <w:szCs w:val="32"/>
        </w:rPr>
        <w:t>院（党校、技校）、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北汽、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有轨、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燃料、广安及驾校，排名靠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后的为：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城市更新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综合得分环比1月上升单位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电车上升36分、客一上升0.29分、客二上升0.26分、客五上升0.07分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48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  <w:t>综合得分环比1月下降的单位，</w:t>
      </w:r>
      <w:r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  <w:lang w:val="en-US" w:eastAsia="zh-CN"/>
        </w:rPr>
        <w:t>城市更新下降90分。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afterLines="0" w:line="52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双月平均分为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100分的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客三、客四、客六、客七、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客八、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客九及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资产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63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.各车队情况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4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截止202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月份集团公司在册车队167个，均接到了市12345诉求派单，纳入三率考核的车队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117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个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6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</w:rPr>
        <w:t>.各单位派单剔除情况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right="0" w:rightChars="0" w:firstLine="65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-14605</wp:posOffset>
            </wp:positionH>
            <wp:positionV relativeFrom="page">
              <wp:posOffset>6560820</wp:posOffset>
            </wp:positionV>
            <wp:extent cx="5287645" cy="3248660"/>
            <wp:effectExtent l="0" t="0" r="635" b="12700"/>
            <wp:wrapSquare wrapText="bothSides"/>
            <wp:docPr id="7" name="图片 7" descr="a7a6fbd1-7863-4cde-adae-486692401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7a6fbd1-7863-4cde-adae-486692401b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月份，市区客运单位剔除较高的为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客三92.96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%；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郊区客运单位剔除较高的为：客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八88.45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%；非客运单位剔除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</w:rPr>
        <w:t>较高的为：</w:t>
      </w:r>
      <w:r>
        <w:rPr>
          <w:rFonts w:hint="eastAsia" w:ascii="仿宋_GB2312" w:hAnsi="仿宋_GB2312" w:eastAsia="仿宋_GB2312" w:cs="仿宋_GB2312"/>
          <w:color w:val="auto"/>
          <w:spacing w:val="9"/>
          <w:sz w:val="32"/>
          <w:szCs w:val="32"/>
          <w:lang w:val="en-US" w:eastAsia="zh-CN"/>
        </w:rPr>
        <w:t>保修、党校、有轨、广安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剔除率均为100%。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9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.各线路情况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firstLine="63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1"/>
          <w:sz w:val="32"/>
          <w:szCs w:val="32"/>
        </w:rPr>
        <w:t>本月诉求量最多的十条线路分别是：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电车快速公交1线51件，客四专110路49件，客四专91路41件，客四快速公交4线28件，客六838路28件，客六849路25件，客七973路25件，客四57路24件，客七852路24件，客六616路22件。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firstLine="655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3"/>
          <w:sz w:val="32"/>
          <w:szCs w:val="32"/>
        </w:rPr>
        <w:t>本月突出诉求及主要线路分布：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调整公交线路542件，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电车快速公交1线40件，电车65路15件，客六616路10件；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定点班线间隔问题366件，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电车106路9件，客二468路、客八872路各7件，客二553路、客三685路、客三324路、客六895路、电车85路及113路各5件；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突发情况334件，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客七918路10件，客八883路7件，客四633路、客六917路、客八921路个6件；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间隔问题287件，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客五T9路7件，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客三142路、客四专91路、客七973路、客八883路及921路各5件；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常规线路跑来不等159件，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客一604路、电车102路及56路各3件。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6"/>
          <w:sz w:val="32"/>
          <w:szCs w:val="32"/>
        </w:rPr>
        <w:t>.全口径排名靠前的诉求情况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本月“接诉即办”管理中心三个渠道（961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66、12345、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12328）共承办派单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23770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件，环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比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25670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下降7.40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%，诉求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16244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件，环比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16675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下降2.58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排名前五的诉求（不含非主观因素）及主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要线路分布：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39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-1"/>
          <w:sz w:val="32"/>
          <w:szCs w:val="32"/>
          <w:lang w:val="en-US" w:eastAsia="zh-CN"/>
        </w:rPr>
        <w:t>一是非全日定点间隔1182件，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其中，电车15路17件、电车106路16件、电车113路、客二553路和客三93路各15件、客二58路14件、客二468路、客三400外和客三622路各13件。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6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二是缩小间隔883件，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客六849路18件、客四663路12件、客三497路11件、电车38路、客八921路、客六838路、客四334路和客一315路各10件。</w:t>
      </w:r>
    </w:p>
    <w:p>
      <w:pPr>
        <w:keepNext w:val="0"/>
        <w:keepLines w:val="0"/>
        <w:pageBreakBefore w:val="0"/>
        <w:widowControl/>
        <w:wordWrap/>
        <w:overflowPunct/>
        <w:bidi w:val="0"/>
        <w:adjustRightInd w:val="0"/>
        <w:snapToGrid w:val="0"/>
        <w:spacing w:line="560" w:lineRule="exact"/>
        <w:ind w:firstLine="663" w:firstLineChars="200"/>
        <w:rPr>
          <w:rFonts w:hint="default" w:ascii="仿宋_GB2312" w:hAnsi="仿宋_GB2312" w:eastAsia="仿宋_GB2312" w:cs="仿宋_GB2312"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三是突发情况817件，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  <w:t>其中，客四专91路26件、客四专110（旧）路24件、客四专86路16件、客四快速公交4线12件、客五826路11件。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39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四是调整公交线路805件，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其中，电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车65路63件、电车快速公交1线55件、客七850快54件、客八886路51件、客八885路44件。</w:t>
      </w:r>
    </w:p>
    <w:p>
      <w:pPr>
        <w:keepNext w:val="0"/>
        <w:keepLines w:val="0"/>
        <w:pageBreakBefore w:val="0"/>
        <w:widowControl/>
        <w:wordWrap/>
        <w:overflowPunct/>
        <w:bidi w:val="0"/>
        <w:adjustRightInd w:val="0"/>
        <w:snapToGrid w:val="0"/>
        <w:spacing w:line="560" w:lineRule="exact"/>
        <w:ind w:firstLine="639" w:firstLineChars="200"/>
        <w:rPr>
          <w:rFonts w:hint="eastAsia" w:ascii="仿宋_GB2312" w:hAnsi="仿宋_GB2312" w:eastAsia="仿宋_GB2312" w:cs="仿宋_GB2312"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五是委托经营线路间隔问题659件，</w:t>
      </w:r>
      <w:r>
        <w:rPr>
          <w:rFonts w:hint="eastAsia" w:ascii="仿宋_GB2312" w:hAnsi="仿宋_GB2312" w:eastAsia="仿宋_GB2312" w:cs="仿宋_GB2312"/>
          <w:snapToGrid w:val="0"/>
          <w:color w:val="auto"/>
          <w:spacing w:val="-1"/>
          <w:kern w:val="0"/>
          <w:sz w:val="32"/>
          <w:szCs w:val="32"/>
          <w:lang w:val="en-US" w:eastAsia="zh-CN" w:bidi="ar-SA"/>
        </w:rPr>
        <w:t>其中，客六F81路40件、客六F86路38件、客六F35路25件、客六F41路24件、客七H52路18件。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7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（四）本单位内部职工诉求情况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月份，公交内部职工拨打市12345服务热线反映问题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共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33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件，环比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26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上升26.92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%，为人力资源部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、行车安全服务部、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基建行政部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宣传部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88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人力资源部</w:t>
      </w:r>
      <w:r>
        <w:rPr>
          <w:rFonts w:hint="eastAsia" w:ascii="仿宋_GB2312" w:hAnsi="仿宋_GB2312" w:eastAsia="仿宋_GB2312" w:cs="仿宋_GB2312"/>
          <w:color w:val="auto"/>
          <w:spacing w:val="-21"/>
          <w:sz w:val="32"/>
          <w:szCs w:val="32"/>
          <w:lang w:val="en-US" w:eastAsia="zh-CN"/>
        </w:rPr>
        <w:t>26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退休政策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12"/>
          <w:sz w:val="32"/>
          <w:szCs w:val="32"/>
        </w:rPr>
        <w:t>供暖费报销、人员配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备、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  <w:lang w:val="en-US" w:eastAsia="zh-CN"/>
        </w:rPr>
        <w:t>医院费报销、企业年金等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8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行车安全服务部4件，认为处罚不合理、退休奖品、绩效考核等。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基建行政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部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为食堂饭菜，场站生活设施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8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  <w:lang w:val="en-US" w:eastAsia="zh-CN"/>
        </w:rPr>
        <w:t>宣传部1件，为微视频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奖品发放问题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9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4"/>
          <w:sz w:val="32"/>
          <w:szCs w:val="32"/>
        </w:rPr>
        <w:t>按单位划分为：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鸿运承</w:t>
      </w:r>
      <w:r>
        <w:rPr>
          <w:rFonts w:hint="eastAsia" w:ascii="仿宋_GB2312" w:hAnsi="仿宋_GB2312" w:eastAsia="仿宋_GB2312" w:cs="仿宋_GB2312"/>
          <w:color w:val="auto"/>
          <w:spacing w:val="-35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退休福利，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医院费报销，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食堂饭菜、场站生活设施等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二5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劳动工时，退休福利，奖品发放等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客三5件，为薪资扣费，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扣罚不合理，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供暖费报销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等问题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auto"/>
          <w:spacing w:val="-39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供暖费，医院费报销，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电车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星级考试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工伤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机关3件，为年休假，节日三薪，薪资问题。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七2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企业年金，转岗问题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一1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客六1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  <w:t>工资及排班</w:t>
      </w: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6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1件，为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问题。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8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7"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上月未解决派单整改情况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月份，市中心反馈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5件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未解决派单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均按照时间办结上报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3984" w:firstLineChars="1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</w:rPr>
        <w:t>“接诉即办”管理中心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4560" w:firstLineChars="15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color w:val="auto"/>
          <w:spacing w:val="-8"/>
          <w:sz w:val="32"/>
          <w:szCs w:val="32"/>
        </w:rPr>
        <w:t>日</w:t>
      </w:r>
    </w:p>
    <w:sectPr>
      <w:footerReference r:id="rId3" w:type="default"/>
      <w:pgSz w:w="11906" w:h="16839"/>
      <w:pgMar w:top="1431" w:right="1785" w:bottom="1157" w:left="1785" w:header="0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7"/>
      <w:rPr>
        <w:rFonts w:ascii="Calibri" w:hAnsi="Calibri" w:eastAsia="Calibri" w:cs="Calibri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w3J9bBAgAA1g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CcNyfW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eastAsia="宋体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eastAsia="宋体"/>
                        <w:lang w:eastAsia="zh-CN"/>
                      </w:rPr>
                      <w:t>1</w: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C13B1C"/>
    <w:multiLevelType w:val="singleLevel"/>
    <w:tmpl w:val="6FC13B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rsids>
    <w:rsidRoot w:val="00000000"/>
    <w:rsid w:val="00790A29"/>
    <w:rsid w:val="00BC2C03"/>
    <w:rsid w:val="01601AEE"/>
    <w:rsid w:val="0184532A"/>
    <w:rsid w:val="01A83E8D"/>
    <w:rsid w:val="01F64F99"/>
    <w:rsid w:val="026E3DCE"/>
    <w:rsid w:val="02F53895"/>
    <w:rsid w:val="04587C0A"/>
    <w:rsid w:val="058E07B8"/>
    <w:rsid w:val="06717E19"/>
    <w:rsid w:val="06E72B2F"/>
    <w:rsid w:val="07434B41"/>
    <w:rsid w:val="07C075CC"/>
    <w:rsid w:val="07FD61F0"/>
    <w:rsid w:val="092B44D3"/>
    <w:rsid w:val="093038B6"/>
    <w:rsid w:val="095F0320"/>
    <w:rsid w:val="09D75F42"/>
    <w:rsid w:val="09E13B05"/>
    <w:rsid w:val="0B3B4B65"/>
    <w:rsid w:val="0CE75D49"/>
    <w:rsid w:val="0D6D55CC"/>
    <w:rsid w:val="0D7A7A04"/>
    <w:rsid w:val="0DC17D30"/>
    <w:rsid w:val="0F305E9C"/>
    <w:rsid w:val="0FD9537B"/>
    <w:rsid w:val="11143703"/>
    <w:rsid w:val="111C0654"/>
    <w:rsid w:val="113E722E"/>
    <w:rsid w:val="132F29B1"/>
    <w:rsid w:val="136D36F5"/>
    <w:rsid w:val="13FA35CB"/>
    <w:rsid w:val="14436C98"/>
    <w:rsid w:val="14EC144F"/>
    <w:rsid w:val="151B6D07"/>
    <w:rsid w:val="15A412E6"/>
    <w:rsid w:val="15C1663F"/>
    <w:rsid w:val="15CD0F1D"/>
    <w:rsid w:val="16B6465C"/>
    <w:rsid w:val="16BC35BA"/>
    <w:rsid w:val="173169A0"/>
    <w:rsid w:val="178278D5"/>
    <w:rsid w:val="17DB7F9C"/>
    <w:rsid w:val="187723F6"/>
    <w:rsid w:val="18CA1788"/>
    <w:rsid w:val="19711CCA"/>
    <w:rsid w:val="19B23D4C"/>
    <w:rsid w:val="19F07965"/>
    <w:rsid w:val="1A5E45ED"/>
    <w:rsid w:val="1AC70064"/>
    <w:rsid w:val="1B001AFD"/>
    <w:rsid w:val="1B1E7A4E"/>
    <w:rsid w:val="1C075BB6"/>
    <w:rsid w:val="1C483FB8"/>
    <w:rsid w:val="1C941C37"/>
    <w:rsid w:val="1CBA3A91"/>
    <w:rsid w:val="1D0D0ABE"/>
    <w:rsid w:val="1DB22331"/>
    <w:rsid w:val="1E6736E3"/>
    <w:rsid w:val="1EBE7495"/>
    <w:rsid w:val="1FB96DBD"/>
    <w:rsid w:val="20A41C72"/>
    <w:rsid w:val="20EC566F"/>
    <w:rsid w:val="21D12B6D"/>
    <w:rsid w:val="227C7D5E"/>
    <w:rsid w:val="22D03BCA"/>
    <w:rsid w:val="23D42FA5"/>
    <w:rsid w:val="23FA070E"/>
    <w:rsid w:val="24CF461F"/>
    <w:rsid w:val="257563BA"/>
    <w:rsid w:val="2604092A"/>
    <w:rsid w:val="26FB47AA"/>
    <w:rsid w:val="28515380"/>
    <w:rsid w:val="28635E80"/>
    <w:rsid w:val="291634C0"/>
    <w:rsid w:val="29986A5A"/>
    <w:rsid w:val="29B54DEF"/>
    <w:rsid w:val="2A0837FF"/>
    <w:rsid w:val="2ACD38D7"/>
    <w:rsid w:val="2B1D3677"/>
    <w:rsid w:val="2B4C2F01"/>
    <w:rsid w:val="2BAB48F0"/>
    <w:rsid w:val="2C3832D2"/>
    <w:rsid w:val="2CA21A13"/>
    <w:rsid w:val="2D420F50"/>
    <w:rsid w:val="2EFF2160"/>
    <w:rsid w:val="2F6373B5"/>
    <w:rsid w:val="30050591"/>
    <w:rsid w:val="30114BC3"/>
    <w:rsid w:val="302C5863"/>
    <w:rsid w:val="305121C4"/>
    <w:rsid w:val="308176A4"/>
    <w:rsid w:val="313E2215"/>
    <w:rsid w:val="31645598"/>
    <w:rsid w:val="31DC068F"/>
    <w:rsid w:val="324B4B26"/>
    <w:rsid w:val="32B8359D"/>
    <w:rsid w:val="355E3C05"/>
    <w:rsid w:val="35941ACB"/>
    <w:rsid w:val="37243AB9"/>
    <w:rsid w:val="37DC28B0"/>
    <w:rsid w:val="3AE078FA"/>
    <w:rsid w:val="3B6949E8"/>
    <w:rsid w:val="3C5534E1"/>
    <w:rsid w:val="3C852307"/>
    <w:rsid w:val="3D083158"/>
    <w:rsid w:val="3D7E0224"/>
    <w:rsid w:val="3E1C57E4"/>
    <w:rsid w:val="3E84684B"/>
    <w:rsid w:val="40B71FD8"/>
    <w:rsid w:val="41A4264B"/>
    <w:rsid w:val="424A657C"/>
    <w:rsid w:val="42ED2BD5"/>
    <w:rsid w:val="43BF7408"/>
    <w:rsid w:val="43EE24A9"/>
    <w:rsid w:val="43FC094A"/>
    <w:rsid w:val="446429FB"/>
    <w:rsid w:val="44BF7152"/>
    <w:rsid w:val="45035BD0"/>
    <w:rsid w:val="451E786F"/>
    <w:rsid w:val="46214D3C"/>
    <w:rsid w:val="465319BA"/>
    <w:rsid w:val="468B2311"/>
    <w:rsid w:val="47771A47"/>
    <w:rsid w:val="482C0C0C"/>
    <w:rsid w:val="485721EC"/>
    <w:rsid w:val="48A44274"/>
    <w:rsid w:val="49111395"/>
    <w:rsid w:val="49AF4B97"/>
    <w:rsid w:val="4A6A37C5"/>
    <w:rsid w:val="4B2E69C8"/>
    <w:rsid w:val="4BB03068"/>
    <w:rsid w:val="4C195531"/>
    <w:rsid w:val="4C3D12FA"/>
    <w:rsid w:val="4D9C0978"/>
    <w:rsid w:val="4F3F30C7"/>
    <w:rsid w:val="50C46CD4"/>
    <w:rsid w:val="51541195"/>
    <w:rsid w:val="519762A9"/>
    <w:rsid w:val="51A65987"/>
    <w:rsid w:val="51AC1CA1"/>
    <w:rsid w:val="529E34D3"/>
    <w:rsid w:val="52AE5FC5"/>
    <w:rsid w:val="52DD2831"/>
    <w:rsid w:val="539B0DC7"/>
    <w:rsid w:val="54132E9E"/>
    <w:rsid w:val="54281B8E"/>
    <w:rsid w:val="544B1E48"/>
    <w:rsid w:val="5477514D"/>
    <w:rsid w:val="547B6653"/>
    <w:rsid w:val="54DF450A"/>
    <w:rsid w:val="560C04ED"/>
    <w:rsid w:val="56C80086"/>
    <w:rsid w:val="57D571D2"/>
    <w:rsid w:val="58061F11"/>
    <w:rsid w:val="58B0662B"/>
    <w:rsid w:val="594236B3"/>
    <w:rsid w:val="59A43A99"/>
    <w:rsid w:val="5B503D55"/>
    <w:rsid w:val="5C5E1CE6"/>
    <w:rsid w:val="5CEF5EEB"/>
    <w:rsid w:val="5E432293"/>
    <w:rsid w:val="5F67278E"/>
    <w:rsid w:val="5FDB6CD7"/>
    <w:rsid w:val="611E24B7"/>
    <w:rsid w:val="61300139"/>
    <w:rsid w:val="61A57225"/>
    <w:rsid w:val="6241245D"/>
    <w:rsid w:val="631B4306"/>
    <w:rsid w:val="632042C8"/>
    <w:rsid w:val="637E6C0D"/>
    <w:rsid w:val="63856C00"/>
    <w:rsid w:val="64054AB7"/>
    <w:rsid w:val="64246588"/>
    <w:rsid w:val="651F5BF4"/>
    <w:rsid w:val="659D34CB"/>
    <w:rsid w:val="65B9591F"/>
    <w:rsid w:val="666A35A7"/>
    <w:rsid w:val="66862AEA"/>
    <w:rsid w:val="66EC5718"/>
    <w:rsid w:val="67464694"/>
    <w:rsid w:val="67C966D0"/>
    <w:rsid w:val="67FB3B3E"/>
    <w:rsid w:val="680E0F91"/>
    <w:rsid w:val="69061FC3"/>
    <w:rsid w:val="692040C7"/>
    <w:rsid w:val="692B4973"/>
    <w:rsid w:val="6AB603FE"/>
    <w:rsid w:val="6B1A07E3"/>
    <w:rsid w:val="6B2F5002"/>
    <w:rsid w:val="6B7F4389"/>
    <w:rsid w:val="6BB302C2"/>
    <w:rsid w:val="6C821B65"/>
    <w:rsid w:val="6CA545B6"/>
    <w:rsid w:val="6D2759F4"/>
    <w:rsid w:val="6ECB5FEB"/>
    <w:rsid w:val="71EA54EB"/>
    <w:rsid w:val="71EB170C"/>
    <w:rsid w:val="735D37A8"/>
    <w:rsid w:val="74C61F36"/>
    <w:rsid w:val="759E11D5"/>
    <w:rsid w:val="767D5B20"/>
    <w:rsid w:val="76F778BD"/>
    <w:rsid w:val="773846F3"/>
    <w:rsid w:val="778D2525"/>
    <w:rsid w:val="77963AF1"/>
    <w:rsid w:val="77DE0EC2"/>
    <w:rsid w:val="7B6433C0"/>
    <w:rsid w:val="7B7C58ED"/>
    <w:rsid w:val="7B8565C0"/>
    <w:rsid w:val="7B927F25"/>
    <w:rsid w:val="7BB41939"/>
    <w:rsid w:val="7C247D36"/>
    <w:rsid w:val="7D0A05B1"/>
    <w:rsid w:val="7D165245"/>
    <w:rsid w:val="7DE22956"/>
    <w:rsid w:val="7F3A14E0"/>
    <w:rsid w:val="7FCB2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75</TotalTime>
  <ScaleCrop>false</ScaleCrop>
  <LinksUpToDate>false</LinksUpToDate>
  <Application>WPS Office_11.8.2.9022_F1E327BC-269C-435d-A152-05C5408002CA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2025-12-12T09:04:00Z</dcterms:created>
  <dc:creator>崔剑</dc:creator>
  <cp:lastModifiedBy>赵晶</cp:lastModifiedBy>
  <dcterms:modified xsi:type="dcterms:W3CDTF">2026-03-13T01:09:02Z</dcterms:modified>
  <dc:title>集团公司X月份“接诉即办”工作讲评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2025-12-12T11:08:40Z</vt:filetime>
  </property>
  <property fmtid="{D5CDD505-2E9C-101B-9397-08002B2CF9AE}" pid="4" name="KSOProductBuildVer">
    <vt:lpwstr>2052-11.8.2.9022</vt:lpwstr>
  </property>
</Properties>
</file>