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60" w:lineRule="exact"/>
        <w:jc w:val="center"/>
      </w:pPr>
      <w:r>
        <w:rPr>
          <w:rFonts w:ascii="小标宋" w:hAnsi="小标宋" w:eastAsia="小标宋"/>
          <w:color w:val="000000"/>
          <w:sz w:val="44"/>
        </w:rPr>
        <w:t>原始资料索引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本调研报告收集的基础资料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资料列表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01_2026伊朗战争概述.md</w:t>
      </w:r>
      <w:r>
        <w:rPr>
          <w:rFonts w:ascii="仿宋" w:hAnsi="仿宋" w:eastAsia="仿宋"/>
          <w:color w:val="000000"/>
          <w:sz w:val="32"/>
        </w:rPr>
        <w:t xml:space="preserve"> - 2026伊朗战争时间线、经济影响、霍尔木兹海峡危机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b/>
          <w:color w:val="000000"/>
          <w:sz w:val="32"/>
        </w:rPr>
        <w:t>02_霍尔木兹海峡危机与全球能源市场.md</w:t>
      </w:r>
      <w:r>
        <w:rPr>
          <w:rFonts w:ascii="仿宋" w:hAnsi="仿宋" w:eastAsia="仿宋"/>
          <w:color w:val="000000"/>
          <w:sz w:val="32"/>
        </w:rPr>
        <w:t xml:space="preserve"> - 海峡战略重要性、全球石油进口依赖、关闭影响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b/>
          <w:color w:val="000000"/>
          <w:sz w:val="32"/>
        </w:rPr>
        <w:t>03_伊朗经济保险与再保险市场.md</w:t>
      </w:r>
      <w:r>
        <w:rPr>
          <w:rFonts w:ascii="仿宋" w:hAnsi="仿宋" w:eastAsia="仿宋"/>
          <w:color w:val="000000"/>
          <w:sz w:val="32"/>
        </w:rPr>
        <w:t xml:space="preserve"> - 伊朗经济概况、银行业保险、国际制裁、影子船队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4.　</w:t>
      </w:r>
      <w:r>
        <w:rPr>
          <w:rFonts w:ascii="仿宋" w:hAnsi="仿宋" w:eastAsia="仿宋"/>
          <w:b/>
          <w:color w:val="000000"/>
          <w:sz w:val="32"/>
        </w:rPr>
        <w:t>04_全球保险与再保险市场.md</w:t>
      </w:r>
      <w:r>
        <w:rPr>
          <w:rFonts w:ascii="仿宋" w:hAnsi="仿宋" w:eastAsia="仿宋"/>
          <w:color w:val="000000"/>
          <w:sz w:val="32"/>
        </w:rPr>
        <w:t xml:space="preserve"> - 再保险行业概述、主要国际再保险公司、战争风险定价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5.　</w:t>
      </w:r>
      <w:r>
        <w:rPr>
          <w:rFonts w:ascii="仿宋" w:hAnsi="仿宋" w:eastAsia="仿宋"/>
          <w:b/>
          <w:color w:val="000000"/>
          <w:sz w:val="32"/>
        </w:rPr>
        <w:t>05_中国再保险市场.md</w:t>
      </w:r>
      <w:r>
        <w:rPr>
          <w:rFonts w:ascii="仿宋" w:hAnsi="仿宋" w:eastAsia="仿宋"/>
          <w:color w:val="000000"/>
          <w:sz w:val="32"/>
        </w:rPr>
        <w:t xml:space="preserve"> - 中国再保险集团、人保集团、太保集团、中国石油进口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6.　</w:t>
      </w:r>
      <w:r>
        <w:rPr>
          <w:rFonts w:ascii="仿宋" w:hAnsi="仿宋" w:eastAsia="仿宋"/>
          <w:b/>
          <w:color w:val="000000"/>
          <w:sz w:val="32"/>
        </w:rPr>
        <w:t>06_地缘政治风险对保险定价的影响.md</w:t>
      </w:r>
      <w:r>
        <w:rPr>
          <w:rFonts w:ascii="仿宋" w:hAnsi="仿宋" w:eastAsia="仿宋"/>
          <w:color w:val="000000"/>
          <w:sz w:val="32"/>
        </w:rPr>
        <w:t xml:space="preserve"> - 战争风险溢价机制、红海危机、俄罗斯制裁案例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数据来源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所有资料均来自维基百科公开信息，通过维基百科API获取。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引用格式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所有引用均按照GB/T 7714格式标注，格式为：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维基百科作者. 文章标题[EB/OL]. Wikipedia, The Free Encyclopedia, [引用日期]. https://en.wikipedia.org/wiki/文章名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调研说明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本调研报告基于公开可获取的维基百科信息进行分析，旨在全面评估2026年伊朗战争对中国再保险市场的影响。由于Tavily搜索API Key未配置，本报告主要依赖维基百科等公开信息源。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